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4.xml" ContentType="application/vnd.openxmlformats-officedocument.customXmlProperties+xml"/>
  <Override PartName="/customXml/itemProps2.xml" ContentType="application/vnd.openxmlformats-officedocument.customXmlProperties+xml"/>
  <Override PartName="/customXml/item3.xml" ContentType="application/xml"/>
  <Override PartName="/customXml/item4.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2"/>
        <w:spacing w:before="120" w:after="0"/>
        <w:ind w:left="5103"/>
        <w:rPr>
          <w:rFonts w:ascii="Times New Roman" w:hAnsi="Times New Roman" w:cs="Times New Roman"/>
          <w:color w:val="0070C0"/>
          <w:sz w:val="24"/>
          <w:szCs w:val="24"/>
        </w:rPr>
      </w:pPr>
      <w:bookmarkStart w:id="0" w:name="_Toc213033843"/>
      <w:r>
        <w:rPr>
          <w:rFonts w:cs="Times New Roman" w:ascii="Times New Roman" w:hAnsi="Times New Roman"/>
          <w:color w:val="0070C0"/>
          <w:sz w:val="24"/>
          <w:szCs w:val="24"/>
        </w:rPr>
        <w:t>Pirkimo sąlygų</w:t>
      </w:r>
      <w:r>
        <w:rPr>
          <w:rFonts w:cs="Times New Roman" w:ascii="Times New Roman" w:hAnsi="Times New Roman"/>
          <w:color w:val="0070C0"/>
          <w:sz w:val="24"/>
          <w:szCs w:val="24"/>
          <w:lang w:val="pt-PT"/>
        </w:rPr>
        <w:t xml:space="preserve"> 8 </w:t>
      </w:r>
      <w:r>
        <w:rPr>
          <w:rFonts w:cs="Times New Roman" w:ascii="Times New Roman" w:hAnsi="Times New Roman"/>
          <w:color w:val="0070C0"/>
          <w:sz w:val="24"/>
          <w:szCs w:val="24"/>
        </w:rPr>
        <w:t>priedas „Sutarties projektas“</w:t>
      </w:r>
      <w:bookmarkEnd w:id="0"/>
    </w:p>
    <w:p>
      <w:pPr>
        <w:pStyle w:val="Normal"/>
        <w:tabs>
          <w:tab w:val="clear" w:pos="1296"/>
          <w:tab w:val="center" w:pos="4680" w:leader="none"/>
          <w:tab w:val="right" w:pos="9360" w:leader="none"/>
        </w:tabs>
        <w:rPr/>
      </w:pPr>
      <w:r>
        <w:rPr/>
      </w:r>
    </w:p>
    <w:p>
      <w:pPr>
        <w:pStyle w:val="Normal"/>
        <w:textAlignment w:val="baseline"/>
        <w:rPr>
          <w:sz w:val="18"/>
          <w:szCs w:val="18"/>
        </w:rPr>
      </w:pPr>
      <w:r>
        <w:rPr>
          <w:sz w:val="18"/>
          <w:szCs w:val="18"/>
        </w:rPr>
      </w:r>
    </w:p>
    <w:p>
      <w:pPr>
        <w:pStyle w:val="Normal"/>
        <w:widowControl w:val="false"/>
        <w:tabs>
          <w:tab w:val="clear" w:pos="1296"/>
          <w:tab w:val="left" w:pos="567" w:leader="none"/>
          <w:tab w:val="left" w:pos="851" w:leader="none"/>
        </w:tabs>
        <w:jc w:val="center"/>
        <w:rPr>
          <w:b/>
          <w:caps/>
          <w:szCs w:val="24"/>
        </w:rPr>
      </w:pPr>
      <w:r>
        <w:rPr>
          <w:b/>
          <w:caps/>
          <w:szCs w:val="24"/>
        </w:rPr>
      </w:r>
    </w:p>
    <w:p>
      <w:pPr>
        <w:pStyle w:val="Normal"/>
        <w:widowControl w:val="false"/>
        <w:tabs>
          <w:tab w:val="clear" w:pos="1296"/>
          <w:tab w:val="left" w:pos="567" w:leader="none"/>
          <w:tab w:val="left" w:pos="851" w:leader="none"/>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pPr>
        <w:pStyle w:val="Normal"/>
        <w:widowControl w:val="false"/>
        <w:tabs>
          <w:tab w:val="clear" w:pos="1296"/>
          <w:tab w:val="left" w:pos="567" w:leader="none"/>
          <w:tab w:val="left" w:pos="851" w:leader="none"/>
        </w:tabs>
        <w:jc w:val="center"/>
        <w:rPr>
          <w:b/>
          <w:caps/>
          <w:szCs w:val="24"/>
        </w:rPr>
      </w:pPr>
      <w:r>
        <w:rPr>
          <w:b/>
          <w:caps/>
          <w:szCs w:val="24"/>
        </w:rPr>
      </w:r>
    </w:p>
    <w:p>
      <w:pPr>
        <w:pStyle w:val="Normal"/>
        <w:tabs>
          <w:tab w:val="clear" w:pos="1296"/>
          <w:tab w:val="left" w:pos="5400" w:leader="none"/>
        </w:tabs>
        <w:jc w:val="both"/>
        <w:textAlignment w:val="center"/>
        <w:rPr>
          <w:b/>
          <w:bCs/>
          <w:sz w:val="22"/>
          <w:szCs w:val="22"/>
        </w:rPr>
      </w:pPr>
      <w:r>
        <w:rPr>
          <w:b/>
          <w:bCs/>
          <w:sz w:val="22"/>
          <w:szCs w:val="22"/>
        </w:rPr>
        <w:t>Teksto spalvų reikšmės:</w:t>
      </w:r>
    </w:p>
    <w:p>
      <w:pPr>
        <w:pStyle w:val="Normal"/>
        <w:tabs>
          <w:tab w:val="clear" w:pos="1296"/>
          <w:tab w:val="left" w:pos="5400" w:leader="none"/>
        </w:tabs>
        <w:jc w:val="both"/>
        <w:textAlignment w:val="center"/>
        <w:rPr>
          <w:sz w:val="22"/>
          <w:szCs w:val="22"/>
        </w:rPr>
      </w:pPr>
      <w:r>
        <w:rPr>
          <w:sz w:val="22"/>
          <w:szCs w:val="22"/>
        </w:rPr>
        <w:t>Juoda spalva parašytas tekstas, kuris nėra keičiamas sudarant sutartį, išskyrus akivaizdžias rašybos ar fakto klaidas.</w:t>
      </w:r>
    </w:p>
    <w:p>
      <w:pPr>
        <w:pStyle w:val="Normal"/>
        <w:tabs>
          <w:tab w:val="clear" w:pos="1296"/>
          <w:tab w:val="left" w:pos="5400" w:leader="none"/>
        </w:tabs>
        <w:jc w:val="both"/>
        <w:textAlignment w:val="center"/>
        <w:rPr>
          <w:sz w:val="22"/>
          <w:szCs w:val="22"/>
        </w:rPr>
      </w:pPr>
      <w:r>
        <w:rPr>
          <w:color w:val="00B050"/>
          <w:sz w:val="22"/>
          <w:szCs w:val="22"/>
        </w:rPr>
        <w:t>Žalia</w:t>
      </w:r>
      <w:r>
        <w:rPr>
          <w:sz w:val="22"/>
          <w:szCs w:val="22"/>
        </w:rPr>
        <w:t> spalva parašytas tekstas numato galimybę tikslinti arba įrašyti perkančiosios organizacijos poreikius atitinkančias nuostatas, nereikalingą – ištrinti, pateikti paaiškinimai perkančiajai organizacijai </w:t>
      </w:r>
    </w:p>
    <w:p>
      <w:pPr>
        <w:pStyle w:val="Normal"/>
        <w:tabs>
          <w:tab w:val="clear" w:pos="1296"/>
          <w:tab w:val="left" w:pos="5400" w:leader="none"/>
        </w:tabs>
        <w:jc w:val="both"/>
        <w:textAlignment w:val="center"/>
        <w:rPr>
          <w:sz w:val="22"/>
          <w:szCs w:val="22"/>
        </w:rPr>
      </w:pPr>
      <w:r>
        <w:rPr>
          <w:color w:val="FF0000"/>
          <w:sz w:val="22"/>
          <w:szCs w:val="22"/>
        </w:rPr>
        <w:t>Raudona</w:t>
      </w:r>
      <w:r>
        <w:rPr>
          <w:sz w:val="22"/>
          <w:szCs w:val="22"/>
        </w:rPr>
        <w:t> spalva parašytas tekstas žymi galimybės rinktis iš pateiktų variantų arba papildyti tikslia informacija paskelbus pirkimo laimėtoją ir su juo sudarant sutartį</w:t>
      </w:r>
    </w:p>
    <w:p>
      <w:pPr>
        <w:pStyle w:val="Normal"/>
        <w:tabs>
          <w:tab w:val="clear" w:pos="1296"/>
          <w:tab w:val="left" w:pos="5400" w:leader="none"/>
        </w:tabs>
        <w:jc w:val="both"/>
        <w:textAlignment w:val="center"/>
        <w:rPr>
          <w:sz w:val="22"/>
          <w:szCs w:val="22"/>
        </w:rPr>
      </w:pPr>
      <w:r>
        <w:rPr>
          <w:color w:val="7030A0"/>
          <w:sz w:val="22"/>
          <w:szCs w:val="22"/>
        </w:rPr>
        <w:t>Violetine</w:t>
      </w:r>
      <w:r>
        <w:rPr>
          <w:sz w:val="22"/>
          <w:szCs w:val="22"/>
        </w:rPr>
        <w:t xml:space="preserve"> spalva parašytas tekstas yra komentarai, kurie ištrinami sudarant sutartį.</w:t>
      </w:r>
    </w:p>
    <w:p>
      <w:pPr>
        <w:pStyle w:val="Normal"/>
        <w:tabs>
          <w:tab w:val="clear" w:pos="1296"/>
          <w:tab w:val="left" w:pos="5400" w:leader="none"/>
        </w:tabs>
        <w:jc w:val="both"/>
        <w:textAlignment w:val="center"/>
        <w:rPr>
          <w:sz w:val="22"/>
          <w:szCs w:val="22"/>
        </w:rPr>
      </w:pPr>
      <w:r>
        <w:rPr>
          <w:color w:val="7030A0"/>
          <w:sz w:val="22"/>
          <w:szCs w:val="22"/>
        </w:rPr>
        <w:t>[Sudarant sutartį aukščiau esantis teksto spalvų reikšmių aprašymas ištrinamas]</w:t>
      </w:r>
    </w:p>
    <w:p>
      <w:pPr>
        <w:pStyle w:val="Normal"/>
        <w:widowControl w:val="false"/>
        <w:tabs>
          <w:tab w:val="clear" w:pos="1296"/>
          <w:tab w:val="left" w:pos="567" w:leader="none"/>
          <w:tab w:val="left" w:pos="851" w:leader="none"/>
        </w:tabs>
        <w:rPr>
          <w:caps/>
          <w:szCs w:val="24"/>
        </w:rPr>
      </w:pPr>
      <w:r>
        <w:rPr>
          <w:caps/>
          <w:szCs w:val="24"/>
        </w:rPr>
      </w:r>
    </w:p>
    <w:p>
      <w:pPr>
        <w:pStyle w:val="Normal"/>
        <w:jc w:val="center"/>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443"/>
        <w:gridCol w:w="2183"/>
        <w:gridCol w:w="2360"/>
        <w:gridCol w:w="2571"/>
      </w:tblGrid>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color w:val="000000"/>
              </w:rPr>
            </w:pPr>
            <w:r>
              <w:rPr>
                <w:b/>
                <w:bCs/>
                <w:color w:val="000000"/>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pPr>
              <w:pStyle w:val="Normal"/>
              <w:jc w:val="both"/>
              <w:rPr>
                <w:color w:val="000000"/>
              </w:rPr>
            </w:pPr>
            <w:r>
              <w:rPr>
                <w:color w:val="000000"/>
                <w:kern w:val="2"/>
                <w:szCs w:val="24"/>
              </w:rPr>
              <w:t>Tuesi.lt viešinimas: ženklo atributikos gamyba ir sklaida</w:t>
            </w:r>
          </w:p>
        </w:tc>
      </w:tr>
      <w:tr>
        <w:trPr/>
        <w:tc>
          <w:tcPr>
            <w:tcW w:w="2443"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data</w:t>
            </w:r>
          </w:p>
        </w:tc>
        <w:tc>
          <w:tcPr>
            <w:tcW w:w="2183"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color w:val="00B050"/>
                <w:kern w:val="2"/>
                <w:szCs w:val="24"/>
                <w:lang w:val="en-US"/>
              </w:rPr>
              <w:t>2026</w:t>
            </w:r>
            <w:r>
              <w:rPr>
                <w:color w:val="00B050"/>
                <w:kern w:val="2"/>
                <w:szCs w:val="24"/>
              </w:rPr>
              <w:t>-XX-XX</w:t>
            </w:r>
          </w:p>
        </w:tc>
        <w:tc>
          <w:tcPr>
            <w:tcW w:w="2360" w:type="dxa"/>
            <w:tcBorders>
              <w:top w:val="single" w:sz="4" w:space="0" w:color="000000"/>
              <w:left w:val="single" w:sz="4" w:space="0" w:color="000000"/>
              <w:bottom w:val="single" w:sz="4" w:space="0" w:color="000000"/>
              <w:right w:val="single" w:sz="4" w:space="0" w:color="000000"/>
            </w:tcBorders>
          </w:tcPr>
          <w:p>
            <w:pPr>
              <w:pStyle w:val="Normal"/>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color w:val="00B050"/>
                <w:kern w:val="2"/>
                <w:szCs w:val="24"/>
              </w:rPr>
              <w:t>XX</w:t>
            </w:r>
          </w:p>
        </w:tc>
      </w:tr>
    </w:tbl>
    <w:p>
      <w:pPr>
        <w:pStyle w:val="Normal"/>
        <w:jc w:val="both"/>
        <w:rPr>
          <w:szCs w:val="24"/>
        </w:rPr>
      </w:pPr>
      <w:r>
        <w:rPr>
          <w:szCs w:val="24"/>
        </w:rPr>
      </w:r>
    </w:p>
    <w:tbl>
      <w:tblPr>
        <w:tblW w:w="955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808"/>
        <w:gridCol w:w="3240"/>
        <w:gridCol w:w="3510"/>
      </w:tblGrid>
      <w:tr>
        <w:trPr/>
        <w:tc>
          <w:tcPr>
            <w:tcW w:w="9558" w:type="dxa"/>
            <w:gridSpan w:val="3"/>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 SUTARTIES ŠALYS</w:t>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p>
            <w:pPr>
              <w:pStyle w:val="Normal"/>
              <w:jc w:val="center"/>
              <w:rPr>
                <w:b/>
                <w:bCs/>
                <w:kern w:val="2"/>
                <w:szCs w:val="24"/>
              </w:rPr>
            </w:pPr>
            <w:r>
              <w:rPr>
                <w:b/>
                <w:bCs/>
                <w:kern w:val="2"/>
                <w:szCs w:val="24"/>
              </w:rPr>
            </w:r>
          </w:p>
          <w:p>
            <w:pPr>
              <w:pStyle w:val="Normal"/>
              <w:rPr>
                <w:b/>
                <w:bCs/>
                <w:kern w:val="2"/>
                <w:szCs w:val="24"/>
              </w:rPr>
            </w:pPr>
            <w:r>
              <w:rPr>
                <w:b/>
                <w:bCs/>
                <w:kern w:val="2"/>
                <w:szCs w:val="24"/>
              </w:rPr>
            </w:r>
          </w:p>
          <w:p>
            <w:pPr>
              <w:pStyle w:val="Normal"/>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eastAsia="Times New Roman" w:cs="Times New Roman"/>
                <w:b/>
                <w:bCs/>
              </w:rPr>
            </w:pPr>
            <w:r>
              <w:rPr>
                <w:rFonts w:eastAsia="Times New Roman" w:cs="Times New Roman"/>
                <w:b/>
                <w:bCs/>
              </w:rPr>
              <w:t>Higienos institutas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eastAsia="Times New Roman" w:cs="Times New Roman"/>
              </w:rPr>
            </w:pPr>
            <w:r>
              <w:rPr>
                <w:rFonts w:eastAsia="Times New Roman" w:cs="Times New Roman"/>
              </w:rPr>
              <w:t>11958286</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eastAsia="Times New Roman" w:cs="Times New Roman"/>
              </w:rPr>
            </w:pPr>
            <w:r>
              <w:rPr>
                <w:rFonts w:eastAsia="Times New Roman" w:cs="Times New Roman"/>
              </w:rPr>
              <w:t>Studentų g. 45A, 08107 Vilnius</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eastAsia="Times New Roman" w:cs="Times New Roman"/>
              </w:rPr>
            </w:pPr>
            <w:r>
              <w:rPr>
                <w:rFonts w:eastAsia="Times New Roman" w:cs="Times New Roman"/>
              </w:rPr>
              <w:t>Ne PVM mokėtoja</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eastAsia="Times New Roman" w:cs="Times New Roman"/>
              </w:rPr>
            </w:pPr>
            <w:r>
              <w:rPr>
                <w:rFonts w:eastAsia="Times New Roman" w:cs="Times New Roman"/>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eastAsia="Times New Roman" w:cs="Times New Roman"/>
              </w:rPr>
            </w:pPr>
            <w:r>
              <w:rPr>
                <w:rFonts w:eastAsia="Times New Roman" w:cs="Times New Roman"/>
              </w:rPr>
              <w: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eastAsia="Times New Roman" w:cs="Times New Roman"/>
              </w:rPr>
            </w:pPr>
            <w:r>
              <w:rPr>
                <w:rFonts w:eastAsia="Times New Roman" w:cs="Times New Roman"/>
              </w:rPr>
              <w:t>+370 5 262 4583</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rPr>
                <w:rFonts w:ascii="Times New Roman" w:hAnsi="Times New Roman" w:eastAsia="Times New Roman" w:cs="Times New Roman"/>
              </w:rPr>
            </w:pPr>
            <w:r>
              <w:rPr>
                <w:rFonts w:eastAsia="Times New Roman" w:cs="Times New Roman"/>
              </w:rPr>
              <w:t>institutas@hi.lt</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color w:val="00B050"/>
                <w:kern w:val="2"/>
                <w:szCs w:val="24"/>
              </w:rPr>
              <w:t>Pareigos, Vardas Pavardė</w:t>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color w:val="00B050"/>
                <w:kern w:val="2"/>
                <w:szCs w:val="24"/>
              </w:rPr>
            </w:pPr>
            <w:r>
              <w:rPr>
                <w:color w:val="00B050"/>
                <w:kern w:val="2"/>
                <w:szCs w:val="24"/>
              </w:rPr>
            </w:r>
          </w:p>
        </w:tc>
      </w:tr>
      <w:tr>
        <w:trPr/>
        <w:tc>
          <w:tcPr>
            <w:tcW w:w="2808" w:type="dxa"/>
            <w:vMerge w:val="restart"/>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p>
            <w:pPr>
              <w:pStyle w:val="Normal"/>
              <w:rPr>
                <w:b/>
                <w:bCs/>
                <w:kern w:val="2"/>
                <w:szCs w:val="24"/>
              </w:rPr>
            </w:pPr>
            <w:r>
              <w:rPr>
                <w:b/>
                <w:bCs/>
                <w:kern w:val="2"/>
                <w:szCs w:val="24"/>
              </w:rPr>
            </w:r>
          </w:p>
          <w:p>
            <w:pPr>
              <w:pStyle w:val="Normal"/>
              <w:rPr>
                <w:b/>
                <w:bCs/>
                <w:color w:val="FF0000"/>
                <w:kern w:val="2"/>
                <w:szCs w:val="24"/>
              </w:rPr>
            </w:pPr>
            <w:r>
              <w:rPr>
                <w:b/>
                <w:bCs/>
                <w:color w:val="FF0000"/>
                <w:kern w:val="2"/>
                <w:szCs w:val="24"/>
              </w:rPr>
            </w:r>
          </w:p>
          <w:p>
            <w:pPr>
              <w:pStyle w:val="Normal"/>
              <w:rPr>
                <w:b/>
                <w:bCs/>
                <w:kern w:val="2"/>
                <w:szCs w:val="24"/>
              </w:rPr>
            </w:pPr>
            <w:r>
              <w:rPr>
                <w:b/>
                <w:bCs/>
                <w:kern w:val="2"/>
                <w:szCs w:val="24"/>
              </w:rPr>
              <w:t>1.2. Tiekėjas</w:t>
            </w:r>
          </w:p>
          <w:p>
            <w:pPr>
              <w:pStyle w:val="Normal"/>
              <w:rPr>
                <w:color w:val="7030A0"/>
                <w:kern w:val="2"/>
                <w:szCs w:val="24"/>
              </w:rPr>
            </w:pPr>
            <w:r>
              <w:rPr>
                <w:color w:val="7030A0"/>
                <w:kern w:val="2"/>
                <w:szCs w:val="24"/>
              </w:rPr>
              <w:t>[jei Tiekėjas yra fizinis asmuo, skiltys atitinkamai pakoreguojamos.</w:t>
            </w:r>
          </w:p>
          <w:p>
            <w:pPr>
              <w:pStyle w:val="Normal"/>
              <w:rPr>
                <w:color w:val="7030A0"/>
                <w:kern w:val="2"/>
                <w:szCs w:val="24"/>
              </w:rPr>
            </w:pPr>
            <w:r>
              <w:rPr>
                <w:color w:val="7030A0"/>
                <w:kern w:val="2"/>
                <w:szCs w:val="24"/>
              </w:rPr>
              <w:t>Jei Tiekėjas yra tiekėjų grupė, skiltys pildomos įterpiant kiekvieno grupės nario informaciją]</w:t>
            </w:r>
          </w:p>
          <w:p>
            <w:pPr>
              <w:pStyle w:val="Normal"/>
              <w:rPr>
                <w:color w:val="0070C0"/>
                <w:kern w:val="2"/>
                <w:szCs w:val="24"/>
              </w:rPr>
            </w:pPr>
            <w:r>
              <w:rPr>
                <w:color w:val="0070C0"/>
                <w:kern w:val="2"/>
                <w:szCs w:val="24"/>
              </w:rPr>
            </w:r>
          </w:p>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r>
          </w:p>
        </w:tc>
      </w:tr>
      <w:tr>
        <w:trPr/>
        <w:tc>
          <w:tcPr>
            <w:tcW w:w="2808" w:type="dxa"/>
            <w:vMerge w:val="continue"/>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r>
          </w:p>
        </w:tc>
        <w:tc>
          <w:tcPr>
            <w:tcW w:w="3240" w:type="dxa"/>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kern w:val="2"/>
                <w:szCs w:val="24"/>
              </w:rPr>
              <w:t xml:space="preserve">Tiekėjo atstovas veikia pagal </w:t>
            </w:r>
            <w:r>
              <w:rPr>
                <w:color w:val="00B050"/>
                <w:kern w:val="2"/>
                <w:szCs w:val="24"/>
              </w:rPr>
              <w:t>[nurodyti atstovavimo pagrindą]</w:t>
            </w:r>
          </w:p>
        </w:tc>
      </w:tr>
    </w:tbl>
    <w:p>
      <w:pPr>
        <w:pStyle w:val="Normal"/>
        <w:jc w:val="both"/>
        <w:rPr>
          <w:szCs w:val="24"/>
        </w:rPr>
      </w:pPr>
      <w:r>
        <w:rPr>
          <w:szCs w:val="24"/>
        </w:rPr>
      </w:r>
    </w:p>
    <w:tbl>
      <w:tblPr>
        <w:tblW w:w="953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2686"/>
        <w:gridCol w:w="15"/>
        <w:gridCol w:w="5"/>
        <w:gridCol w:w="2080"/>
        <w:gridCol w:w="4748"/>
      </w:tblGrid>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2. ATSAKINGI ASMENYS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00B050"/>
                <w:kern w:val="2"/>
                <w:szCs w:val="24"/>
              </w:rPr>
              <w:t>[nurodyti padalinį / skyrių, pareigas, vardą, pavardę, tel., el. paštą]</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2.2. Tiekėjo kontaktiniai asmenys, atsakingi už Sutarties vykdymą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color w:val="00B050"/>
                <w:kern w:val="2"/>
                <w:szCs w:val="24"/>
              </w:rPr>
              <w:t>[nurodyti padalinį / skyrių, pareigas, vardą, pavardę, tel., el. paštą]</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3. SUTARTIES DALYKAS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3.1. Sutarties dalykas</w:t>
            </w:r>
          </w:p>
          <w:p>
            <w:pPr>
              <w:pStyle w:val="Normal"/>
              <w:rPr>
                <w:color w:val="7030A0"/>
                <w:kern w:val="2"/>
                <w:szCs w:val="24"/>
              </w:rPr>
            </w:pPr>
            <w:r>
              <w:rPr>
                <w:color w:val="7030A0"/>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rPr>
            </w:pPr>
            <w:r>
              <w:rPr>
                <w:kern w:val="2"/>
                <w:szCs w:val="24"/>
              </w:rPr>
              <w:t xml:space="preserve">Tiekėjas įsipareigoja Sutartyje numatytomis sąlygomis perduoti Pirkėjui </w:t>
            </w:r>
            <w:r>
              <w:rPr>
                <w:color w:val="000000"/>
                <w:kern w:val="2"/>
                <w:szCs w:val="24"/>
              </w:rPr>
              <w:t>Tuesi.lt viešinimas: ženklo atributikos gamyba ir sklaida</w:t>
            </w:r>
            <w:r>
              <w:rPr>
                <w:color w:val="EE0000"/>
                <w:kern w:val="2"/>
                <w:szCs w:val="24"/>
              </w:rPr>
              <w:t xml:space="preserve"> </w:t>
            </w:r>
            <w:r>
              <w:rPr>
                <w:color w:val="000000"/>
                <w:kern w:val="2"/>
                <w:szCs w:val="24"/>
              </w:rPr>
              <w:t>(toliau – Prekės).</w:t>
            </w:r>
          </w:p>
          <w:p>
            <w:pPr>
              <w:pStyle w:val="Normal"/>
              <w:jc w:val="both"/>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3.2. Pirkimo pavadinimas ir numeris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color w:val="000000"/>
                <w:kern w:val="2"/>
                <w:szCs w:val="24"/>
              </w:rPr>
              <w:t>Tuesi.lt viešinimas: ženklo atributikos gamyba ir sklaida</w:t>
            </w:r>
            <w:r>
              <w:rPr>
                <w:kern w:val="2"/>
                <w:szCs w:val="24"/>
              </w:rPr>
              <w:t>, pirkimo ID.</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ListParagraph"/>
              <w:widowControl/>
              <w:suppressAutoHyphens w:val="true"/>
              <w:bidi w:val="0"/>
              <w:spacing w:lineRule="auto" w:line="360" w:before="0" w:after="0"/>
              <w:ind w:hanging="0" w:left="89" w:right="360"/>
              <w:contextualSpacing/>
              <w:jc w:val="both"/>
              <w:rPr/>
            </w:pPr>
            <w:r>
              <w:rPr>
                <w:rStyle w:val="Normaltextrun"/>
                <w:rFonts w:eastAsia="Times New Roman" w:cs="Times New Roman"/>
                <w:color w:themeColor="text1" w:val="000000"/>
                <w:kern w:val="2"/>
                <w:sz w:val="24"/>
                <w:szCs w:val="24"/>
                <w:lang w:val="lt-LT"/>
              </w:rPr>
              <w:t>Projektas 09-025-P-0001 „Psichikos sveikatos stiprinimas, stigmatizavimo mažinimas, savižudybių prevencija Vidurio, vakarų Lietuvos ir Sostinės regione“</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4. PREKIŲ PRISTATYMO TERMINAI IR PREKIŲ PERDAVIMO - PRIĖMIMO TVARKA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4.1. Prekių pristatymo terminas, kai Prekės pristatomos vienu kartu</w:t>
            </w:r>
          </w:p>
          <w:p>
            <w:pPr>
              <w:pStyle w:val="Normal"/>
              <w:rPr>
                <w:b/>
                <w:bCs/>
                <w:kern w:val="2"/>
                <w:szCs w:val="24"/>
              </w:rPr>
            </w:pPr>
            <w:r>
              <w:rPr>
                <w:b/>
                <w:bCs/>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color w:val="000000"/>
                <w:kern w:val="2"/>
                <w:szCs w:val="24"/>
              </w:rPr>
              <w:t>Netaikoma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4.2. Prekių (ar jų dalies) pristatymo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Netaikoma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4.3. Užsakymų teikimo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ListParagraph"/>
              <w:widowControl/>
              <w:suppressAutoHyphens w:val="true"/>
              <w:bidi w:val="0"/>
              <w:spacing w:lineRule="auto" w:line="360" w:before="0" w:after="0"/>
              <w:ind w:hanging="0" w:left="89" w:right="89"/>
              <w:contextualSpacing/>
              <w:jc w:val="both"/>
              <w:rPr>
                <w:rFonts w:ascii="Times New Roman" w:hAnsi="Times New Roman" w:eastAsia="Times New Roman" w:cs="Times New Roman"/>
                <w:color w:themeColor="text1" w:val="000000"/>
              </w:rPr>
            </w:pPr>
            <w:r>
              <w:rPr>
                <w:rFonts w:eastAsia="Times New Roman" w:cs="Times New Roman"/>
                <w:color w:themeColor="text1" w:val="000000"/>
                <w:kern w:val="2"/>
                <w:szCs w:val="24"/>
              </w:rPr>
              <w:t xml:space="preserve">Tiekėjas </w:t>
            </w:r>
            <w:r>
              <w:rPr>
                <w:rFonts w:eastAsia="Times New Roman" w:cs="Times New Roman"/>
                <w:color w:themeColor="text1" w:val="000000"/>
                <w:kern w:val="2"/>
                <w:szCs w:val="24"/>
                <w:shd w:fill="FFFFFF" w:val="clear"/>
              </w:rPr>
              <w:t>per 10 darbo dienų nuo sutarties įsigaliojimo dienos privalo PO kontaktiniam asmeniui el. paštu pateikti atributikai pasirinktų gaminių variantus derinimui. Prekės turi atitikti techninės specifikacijos reikalavimus. PO kontaktinis asmuo per 5 darbo dienas nuo gauto sąrašo patvirtina prekes arba paprašo jas pakeisti, jei prekės neatitinka techninėje sp</w:t>
            </w:r>
            <w:r>
              <w:rPr>
                <w:rFonts w:eastAsia="Times New Roman" w:cs="Times New Roman"/>
                <w:color w:themeColor="text1" w:val="000000"/>
                <w:kern w:val="2"/>
                <w:szCs w:val="24"/>
              </w:rPr>
              <w:t>ecifikacijoje numatytų reikalavimų.</w:t>
            </w:r>
          </w:p>
          <w:p>
            <w:pPr>
              <w:pStyle w:val="ListParagraph"/>
              <w:widowControl/>
              <w:suppressAutoHyphens w:val="true"/>
              <w:bidi w:val="0"/>
              <w:spacing w:lineRule="auto" w:line="360" w:before="0" w:after="0"/>
              <w:ind w:hanging="0" w:left="89" w:right="89"/>
              <w:contextualSpacing/>
              <w:jc w:val="both"/>
              <w:rPr>
                <w:rFonts w:ascii="Times New Roman" w:hAnsi="Times New Roman" w:eastAsia="Times New Roman" w:cs="Times New Roman"/>
                <w:color w:themeColor="text1" w:val="000000"/>
              </w:rPr>
            </w:pPr>
            <w:r>
              <w:rPr>
                <w:rFonts w:eastAsia="Times New Roman" w:cs="Times New Roman"/>
                <w:color w:themeColor="text1" w:val="000000"/>
                <w:kern w:val="2"/>
                <w:szCs w:val="24"/>
              </w:rPr>
              <w:t xml:space="preserve">Tiekėjas užtikrina, kad prekės bus pagamintos ir pristatytos ne vėliau nei per </w:t>
            </w:r>
            <w:r>
              <w:rPr>
                <w:rFonts w:eastAsia="Times New Roman" w:cs="Times New Roman"/>
                <w:color w:themeColor="text1" w:val="000000"/>
                <w:kern w:val="2"/>
                <w:szCs w:val="24"/>
              </w:rPr>
              <w:t>30</w:t>
            </w:r>
            <w:r>
              <w:rPr>
                <w:rFonts w:eastAsia="Times New Roman" w:cs="Times New Roman"/>
                <w:color w:themeColor="text1" w:val="000000"/>
                <w:kern w:val="2"/>
                <w:szCs w:val="24"/>
              </w:rPr>
              <w:t xml:space="preserve"> darbo dienų nuo </w:t>
            </w:r>
            <w:r>
              <w:rPr>
                <w:rFonts w:eastAsia="Times New Roman" w:cs="Times New Roman"/>
                <w:color w:themeColor="text1" w:val="000000"/>
                <w:kern w:val="2"/>
                <w:szCs w:val="24"/>
              </w:rPr>
              <w:t>užsakymo pateikimo</w:t>
            </w:r>
            <w:r>
              <w:rPr>
                <w:rFonts w:eastAsia="Times New Roman" w:cs="Times New Roman"/>
                <w:color w:themeColor="text1" w:val="000000"/>
                <w:kern w:val="2"/>
                <w:szCs w:val="24"/>
              </w:rPr>
              <w:t>.</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4.4. Dėl minimalios užsakymo vertės / apimties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4.5. Kartu su Prekėmis pateikiami dokumentai</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Kartu su Prekėmis pateikiami šie dokumentai: parengtos arba į lietuvių kalbą išverstos Prekių naudojimo instrukcijos, kiti Sutarties priede Nr. 1 „Techninė specifikacija“, Sutarties priede Nr. 2 „Tiekėjo pasiūlymas“ nurodyti Prekių dokumentai, pristačius visas Prekes Pirkėjui privalo būti pateiktas Prekių perdavimo – priėmimo aktas. Tiekėjui nepateikus nurodytų dokumentų, laikoma, kad Prekės neatitinka Sutartyje nustatytų reikalavimų.</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5. SUTARTIES KAINA IR ATSISKAITYMO TVARKA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5.1. Sutarčiai taikomas kainos apskaičiavimo būdas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4472C4"/>
                <w:kern w:val="2"/>
                <w:szCs w:val="24"/>
              </w:rPr>
            </w:pPr>
            <w:r>
              <w:rPr>
                <w:kern w:val="2"/>
                <w:szCs w:val="24"/>
              </w:rPr>
              <w:t>Fiksuot</w:t>
            </w:r>
            <w:r>
              <w:rPr>
                <w:kern w:val="2"/>
                <w:szCs w:val="24"/>
                <w:lang w:val="en-US"/>
              </w:rPr>
              <w:t xml:space="preserve">o </w:t>
            </w:r>
            <w:r>
              <w:rPr>
                <w:kern w:val="2"/>
                <w:szCs w:val="24"/>
                <w:lang w:val="lt-LT"/>
              </w:rPr>
              <w:t>į</w:t>
            </w:r>
            <w:r>
              <w:rPr>
                <w:kern w:val="2"/>
                <w:szCs w:val="24"/>
              </w:rPr>
              <w:t>kainio kainodara</w:t>
            </w:r>
          </w:p>
          <w:p>
            <w:pPr>
              <w:pStyle w:val="Normal"/>
              <w:rPr>
                <w:kern w:val="2"/>
                <w:szCs w:val="24"/>
              </w:rPr>
            </w:pPr>
            <w:r>
              <w:rPr>
                <w:kern w:val="2"/>
                <w:szCs w:val="24"/>
              </w:rPr>
            </w:r>
          </w:p>
          <w:p>
            <w:pPr>
              <w:pStyle w:val="Normal"/>
              <w:rPr>
                <w:color w:val="4472C4"/>
                <w:kern w:val="2"/>
              </w:rPr>
            </w:pPr>
            <w:r>
              <w:rPr>
                <w:color w:val="4472C4"/>
                <w:kern w:val="2"/>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pPr>
              <w:pStyle w:val="Normal"/>
              <w:rPr>
                <w:b/>
                <w:bCs/>
                <w:kern w:val="2"/>
                <w:szCs w:val="24"/>
              </w:rPr>
            </w:pPr>
            <w:r>
              <w:rPr>
                <w:b/>
                <w:bCs/>
                <w:kern w:val="2"/>
                <w:szCs w:val="24"/>
              </w:rPr>
            </w:r>
          </w:p>
          <w:p>
            <w:pPr>
              <w:pStyle w:val="Normal"/>
              <w:rPr>
                <w:b/>
                <w:bCs/>
                <w:kern w:val="2"/>
                <w:szCs w:val="24"/>
              </w:rPr>
            </w:pPr>
            <w:r>
              <w:rPr>
                <w:b/>
                <w:bCs/>
                <w:kern w:val="2"/>
                <w:szCs w:val="24"/>
              </w:rPr>
            </w:r>
          </w:p>
          <w:p>
            <w:pPr>
              <w:pStyle w:val="Normal"/>
              <w:rPr>
                <w:kern w:val="2"/>
                <w:szCs w:val="24"/>
              </w:rPr>
            </w:pPr>
            <w:r>
              <w:rPr>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 xml:space="preserve">Pradinės Sutarties vertė yra </w:t>
            </w:r>
            <w:r>
              <w:rPr>
                <w:color w:val="00B050"/>
                <w:kern w:val="2"/>
                <w:szCs w:val="24"/>
              </w:rPr>
              <w:t>[nurodyti sumą skaičiais (žodžiais)]</w:t>
            </w:r>
            <w:r>
              <w:rPr>
                <w:kern w:val="2"/>
                <w:szCs w:val="24"/>
              </w:rPr>
              <w:t xml:space="preserve"> Eur, be pridėtinės vertės mokesčio (toliau – PVM).</w:t>
            </w:r>
          </w:p>
          <w:p>
            <w:pPr>
              <w:pStyle w:val="Normal"/>
              <w:jc w:val="both"/>
              <w:rPr>
                <w:kern w:val="2"/>
                <w:szCs w:val="24"/>
              </w:rPr>
            </w:pPr>
            <w:r>
              <w:rPr>
                <w:kern w:val="2"/>
                <w:szCs w:val="24"/>
              </w:rPr>
              <w:t xml:space="preserve">PVM sudaro </w:t>
            </w:r>
            <w:r>
              <w:rPr>
                <w:color w:val="00B050"/>
                <w:kern w:val="2"/>
                <w:szCs w:val="24"/>
              </w:rPr>
              <w:t>[nurodyti sumą skaičiais (žodžiais)]</w:t>
            </w:r>
            <w:r>
              <w:rPr>
                <w:kern w:val="2"/>
                <w:szCs w:val="24"/>
              </w:rPr>
              <w:t xml:space="preserve"> Eur,</w:t>
            </w:r>
          </w:p>
          <w:p>
            <w:pPr>
              <w:pStyle w:val="Normal"/>
              <w:jc w:val="both"/>
              <w:rPr>
                <w:kern w:val="2"/>
                <w:szCs w:val="24"/>
              </w:rPr>
            </w:pPr>
            <w:r>
              <w:rPr>
                <w:kern w:val="2"/>
                <w:szCs w:val="24"/>
              </w:rPr>
              <w:t xml:space="preserve">Sutarties kaina yra </w:t>
            </w:r>
            <w:r>
              <w:rPr>
                <w:color w:val="00B050"/>
                <w:kern w:val="2"/>
                <w:szCs w:val="24"/>
              </w:rPr>
              <w:t>[nurodyti sumą skaičiais (žodžiais)]</w:t>
            </w:r>
            <w:r>
              <w:rPr>
                <w:kern w:val="2"/>
                <w:szCs w:val="24"/>
              </w:rPr>
              <w:t xml:space="preserve"> Eur su PVM.</w:t>
            </w:r>
          </w:p>
          <w:p>
            <w:pPr>
              <w:pStyle w:val="Normal"/>
              <w:jc w:val="both"/>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color w:val="000000"/>
              </w:rPr>
            </w:pPr>
            <w:r>
              <w:rPr>
                <w:b/>
                <w:bCs/>
                <w:color w:val="000000"/>
                <w:kern w:val="2"/>
                <w:szCs w:val="24"/>
              </w:rPr>
              <w:t xml:space="preserve">5.3. Sutarties kainos / įkainių perskaičiavimas taikant </w:t>
            </w:r>
            <w:r>
              <w:rPr>
                <w:b/>
                <w:bCs/>
                <w:color w:val="000000"/>
                <w:kern w:val="2"/>
                <w:szCs w:val="24"/>
                <w:u w:val="single"/>
              </w:rPr>
              <w:t>peržiūros</w:t>
            </w:r>
            <w:r>
              <w:rPr>
                <w:b/>
                <w:bCs/>
                <w:color w:val="000000"/>
                <w:kern w:val="2"/>
                <w:szCs w:val="24"/>
              </w:rPr>
              <w:t xml:space="preserve"> taisykles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rFonts w:eastAsia="Times New Roman" w:cs="Times New Roman"/>
                <w:color w:val="000000"/>
              </w:rPr>
              <w:t>Sutarties  kaina bus perskaičiuojami:</w:t>
            </w:r>
          </w:p>
          <w:p>
            <w:pPr>
              <w:pStyle w:val="Normal"/>
              <w:rPr>
                <w:color w:val="000000"/>
              </w:rPr>
            </w:pPr>
            <w:r>
              <w:rPr>
                <w:rFonts w:eastAsia="Times New Roman" w:cs="Times New Roman"/>
                <w:color w:val="000000"/>
              </w:rPr>
              <w:t>5.3.1. dėl PVM tarifo pasikeitimo;</w:t>
            </w:r>
          </w:p>
          <w:p>
            <w:pPr>
              <w:pStyle w:val="Normal"/>
              <w:rPr>
                <w:color w:val="000000"/>
              </w:rPr>
            </w:pPr>
            <w:r>
              <w:rPr>
                <w:rFonts w:eastAsia="Times New Roman" w:cs="Times New Roman"/>
                <w:color w:val="000000"/>
                <w:kern w:val="2"/>
                <w:szCs w:val="24"/>
              </w:rPr>
              <w:t>5.3.2. dėl kainų lygio pokyčio.</w:t>
            </w:r>
          </w:p>
          <w:p>
            <w:pPr>
              <w:pStyle w:val="Normal"/>
              <w:rPr>
                <w:color w:val="000000"/>
                <w:kern w:val="2"/>
              </w:rPr>
            </w:pPr>
            <w:r>
              <w:rPr>
                <w:color w:val="000000"/>
                <w:kern w:val="2"/>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5.3.1. Sutarties kainos / įkainių peržiūra dėl PVM tarifo pasikeitimo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pPr>
              <w:pStyle w:val="Normal"/>
              <w:jc w:val="both"/>
              <w:rPr>
                <w:kern w:val="2"/>
                <w:szCs w:val="24"/>
              </w:rPr>
            </w:pPr>
            <w:r>
              <w:rPr>
                <w:kern w:val="2"/>
                <w:szCs w:val="24"/>
              </w:rPr>
            </w:r>
          </w:p>
          <w:p>
            <w:pPr>
              <w:pStyle w:val="Normal"/>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rPr>
            </w:pPr>
            <w:r>
              <w:rPr>
                <w:kern w:val="2"/>
              </w:rPr>
            </w:r>
          </w:p>
          <w:p>
            <w:pPr>
              <w:pStyle w:val="Normal"/>
              <w:rPr>
                <w:kern w:val="2"/>
              </w:rPr>
            </w:pPr>
            <w:r>
              <w:rPr>
                <w:kern w:val="2"/>
              </w:rPr>
            </w:r>
          </w:p>
          <w:p>
            <w:pPr>
              <w:pStyle w:val="Normal"/>
              <w:rPr/>
            </w:pPr>
            <w:r>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5.3.3. Sutarties kainos / įkainių peržiūra dėl kainų lygio pokyčio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auto"/>
              </w:rPr>
            </w:pPr>
            <w:r>
              <w:rPr>
                <w:color w:val="auto"/>
              </w:rP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pPr>
              <w:pStyle w:val="Normal"/>
              <w:jc w:val="both"/>
              <w:rPr>
                <w:color w:val="auto"/>
                <w:shd w:fill="FFFFFF" w:val="clear"/>
              </w:rPr>
            </w:pPr>
            <w:r>
              <w:rPr>
                <w:color w:val="auto"/>
              </w:rPr>
              <w:t>5.3.3.2. Sutarties k</w:t>
            </w:r>
            <w:r>
              <w:rPr>
                <w:shd w:fill="FFFFFF" w:val="clear"/>
              </w:rPr>
              <w:t>aina / įkainiai peržiūrimi tik tai Sutarties daliai, kuri nėra išpirkta, t. y. Paslaugoms, kurios nėra priimtos ir apmokėtos. Vėlesnė Sutarties kainos / įkainių peržiūra negali apimti laikotarpio, už kurį jau buvo atlikta peržiūra.</w:t>
            </w:r>
          </w:p>
          <w:p>
            <w:pPr>
              <w:pStyle w:val="Normal"/>
              <w:jc w:val="both"/>
              <w:rPr>
                <w:color w:val="auto"/>
                <w:shd w:fill="FFFFFF" w:val="clear"/>
              </w:rPr>
            </w:pPr>
            <w:r>
              <w:rPr>
                <w:color w:val="auto"/>
              </w:rPr>
              <w:t xml:space="preserve">5.3.3.3. </w:t>
            </w:r>
            <w:r>
              <w:rPr>
                <w:shd w:fill="FFFFFF" w:val="clear"/>
              </w:rPr>
              <w:t>Jeigu P</w:t>
            </w:r>
            <w:r>
              <w:rPr>
                <w:color w:val="auto"/>
              </w:rPr>
              <w:t>aslaugų teikimas</w:t>
            </w:r>
            <w:r>
              <w:rPr>
                <w:shd w:fill="FFFFFF" w:val="clear"/>
              </w:rPr>
              <w:t xml:space="preserve"> vėluoja dėl Tiekėjo kaltės, uždelstų suteikti P</w:t>
            </w:r>
            <w:r>
              <w:rPr>
                <w:color w:val="auto"/>
              </w:rPr>
              <w:t>aslaugų</w:t>
            </w:r>
            <w:r>
              <w:rPr>
                <w:shd w:fill="FFFFFF" w:val="clear"/>
              </w:rPr>
              <w:t xml:space="preserve"> kaina / įkainiai nėra perskaičiuojami dėl kainų lygio kilimo (gali būti mažinami, tačiau negali būti didinami).</w:t>
            </w:r>
          </w:p>
          <w:p>
            <w:pPr>
              <w:pStyle w:val="Normal"/>
              <w:jc w:val="both"/>
              <w:rPr>
                <w:color w:val="auto"/>
                <w:shd w:fill="FFFFFF" w:val="clear"/>
              </w:rPr>
            </w:pPr>
            <w:r>
              <w:rPr>
                <w:color w:val="auto"/>
              </w:rPr>
              <w:t xml:space="preserve">5.3.3.4. Atlikdamos Sutarties kainos / įkainių peržiūrą </w:t>
            </w:r>
            <w:r>
              <w:rPr>
                <w:shd w:fill="FFFFFF" w:val="clear"/>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pPr>
              <w:pStyle w:val="Normal"/>
              <w:jc w:val="both"/>
              <w:rPr>
                <w:color w:val="auto"/>
                <w:shd w:fill="FFFFFF" w:val="clear"/>
              </w:rPr>
            </w:pPr>
            <w:r>
              <w:rPr>
                <w:shd w:fill="FFFFFF" w:val="clear"/>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pPr>
              <w:pStyle w:val="Normal"/>
              <w:jc w:val="both"/>
              <w:rPr>
                <w:color w:val="auto"/>
              </w:rPr>
            </w:pPr>
            <w:r>
              <w:rPr>
                <w:shd w:fill="FFFFFF" w:val="clear"/>
              </w:rPr>
              <w:t>5.3.3.6. Nauja Sutarties kaina / įkainiai apskaičiuojami pagal žemiau pateiktą formulę (arba nurodyti kitą Sutarties kainos / įkainių perskaičiavimo formulę):</w:t>
            </w:r>
          </w:p>
          <w:p>
            <w:pPr>
              <w:pStyle w:val="Normal"/>
              <w:rPr>
                <w:color w:val="auto"/>
              </w:rPr>
            </w:pPr>
            <w:r>
              <w:rPr>
                <w:color w:val="auto"/>
              </w:rPr>
            </w:r>
          </w:p>
          <w:p>
            <w:pPr>
              <w:pStyle w:val="Normal"/>
              <w:jc w:val="both"/>
              <w:textAlignment w:val="baseline"/>
              <w:rPr>
                <w:color w:val="auto"/>
              </w:rPr>
            </w:pPr>
            <w:r>
              <w:rPr/>
            </w:r>
            <m:oMath xmlns:m="http://schemas.openxmlformats.org/officeDocument/2006/math">
              <m:sSub>
                <m:e>
                  <m:r>
                    <w:rPr>
                      <w:rFonts w:ascii="Cambria Math" w:hAnsi="Cambria Math"/>
                    </w:rPr>
                    <m:t xml:space="preserve">a</m:t>
                  </m:r>
                </m:e>
                <m:sub>
                  <m:r>
                    <w:rPr>
                      <w:rFonts w:ascii="Cambria Math" w:hAnsi="Cambria Math"/>
                    </w:rPr>
                    <m:t xml:space="preserve">1</m:t>
                  </m:r>
                </m:sub>
              </m:sSub>
              <m:r>
                <w:rPr>
                  <w:rFonts w:ascii="Cambria Math" w:hAnsi="Cambria Math"/>
                </w:rPr>
                <m:t xml:space="preserve">=</m:t>
              </m:r>
              <m:r>
                <w:rPr>
                  <w:rFonts w:ascii="Cambria Math" w:hAnsi="Cambria Math"/>
                </w:rPr>
                <m:t xml:space="preserve">a</m:t>
              </m:r>
              <m:r>
                <w:rPr>
                  <w:rFonts w:ascii="Cambria Math" w:hAnsi="Cambria Math"/>
                </w:rPr>
                <m:t xml:space="preserve">+</m:t>
              </m:r>
              <m:d>
                <m:dPr>
                  <m:begChr m:val="("/>
                  <m:endChr m:val=")"/>
                </m:dPr>
                <m:e>
                  <m:f>
                    <m:num>
                      <m:r>
                        <w:rPr>
                          <w:rFonts w:ascii="Cambria Math" w:hAnsi="Cambria Math"/>
                        </w:rPr>
                        <m:t xml:space="preserve">k</m:t>
                      </m:r>
                    </m:num>
                    <m:den>
                      <m:r>
                        <w:rPr>
                          <w:rFonts w:ascii="Cambria Math" w:hAnsi="Cambria Math"/>
                        </w:rPr>
                        <m:t xml:space="preserve">100</m:t>
                      </m:r>
                    </m:den>
                  </m:f>
                  <m:r>
                    <w:rPr>
                      <w:rFonts w:ascii="Cambria Math" w:hAnsi="Cambria Math"/>
                    </w:rPr>
                    <m:t xml:space="preserve">×</m:t>
                  </m:r>
                  <m:r>
                    <w:rPr>
                      <w:rFonts w:ascii="Cambria Math" w:hAnsi="Cambria Math"/>
                    </w:rPr>
                    <m:t xml:space="preserve">a</m:t>
                  </m:r>
                </m:e>
              </m:d>
            </m:oMath>
            <w:r>
              <w:rPr>
                <w:color w:val="auto"/>
              </w:rPr>
              <w:t>, kur a – kaina / įkainis (Eur be PVM) (jei peržiūra jau buvo atlikta, tai po paskutinio perskaičiavimo)</w:t>
            </w:r>
          </w:p>
          <w:p>
            <w:pPr>
              <w:pStyle w:val="Normal"/>
              <w:jc w:val="both"/>
              <w:textAlignment w:val="baseline"/>
              <w:rPr>
                <w:color w:val="auto"/>
              </w:rPr>
            </w:pPr>
            <w:r>
              <w:rPr>
                <w:color w:val="auto"/>
              </w:rPr>
              <w:t>a</w:t>
            </w:r>
            <w:r>
              <w:rPr>
                <w:color w:val="auto"/>
                <w:vertAlign w:val="subscript"/>
              </w:rPr>
              <w:t>1</w:t>
            </w:r>
            <w:r>
              <w:rPr>
                <w:color w:val="auto"/>
              </w:rPr>
              <w:t xml:space="preserve"> – perskaičiuota (pakeista) kaina / įkainis (Eur be PVM)</w:t>
            </w:r>
          </w:p>
          <w:p>
            <w:pPr>
              <w:pStyle w:val="Normal"/>
              <w:jc w:val="both"/>
              <w:textAlignment w:val="baseline"/>
              <w:rPr>
                <w:color w:val="auto"/>
              </w:rPr>
            </w:pPr>
            <w:r>
              <w:rPr>
                <w:color w:val="auto"/>
              </w:rPr>
              <w:t>k – pagal vartotojų kainų indeksą („Vartojimo prekių ir paslaugų“) apskaičiuotas Vartojimo prekių ir paslaugų kainų pokytis (padidėjimas arba sumažėjimas) (%). „k“ reikšmė skaičiuojama pagal formulę:</w:t>
            </w:r>
          </w:p>
          <w:p>
            <w:pPr>
              <w:pStyle w:val="Normal"/>
              <w:jc w:val="both"/>
              <w:textAlignment w:val="baseline"/>
              <w:rPr>
                <w:color w:val="auto"/>
              </w:rPr>
            </w:pPr>
            <w:r>
              <w:rPr/>
            </w:r>
            <m:oMath xmlns:m="http://schemas.openxmlformats.org/officeDocument/2006/math">
              <m:r>
                <w:rPr>
                  <w:rFonts w:ascii="Cambria Math" w:hAnsi="Cambria Math"/>
                </w:rPr>
                <m:t xml:space="preserve">k</m:t>
              </m:r>
              <m:r>
                <w:rPr>
                  <w:rFonts w:ascii="Cambria Math" w:hAnsi="Cambria Math"/>
                </w:rPr>
                <m:t xml:space="preserve">=</m:t>
              </m:r>
              <m:f>
                <m:num>
                  <m:sSub>
                    <m:e>
                      <m:r>
                        <w:rPr>
                          <w:rFonts w:ascii="Cambria Math" w:hAnsi="Cambria Math"/>
                        </w:rPr>
                        <m:t xml:space="preserve">Ind</m:t>
                      </m:r>
                    </m:e>
                    <m:sub>
                      <m:r>
                        <w:rPr>
                          <w:rFonts w:ascii="Cambria Math" w:hAnsi="Cambria Math"/>
                        </w:rPr>
                        <m:t xml:space="preserve">naujausias</m:t>
                      </m:r>
                    </m:sub>
                  </m:sSub>
                </m:num>
                <m:den>
                  <m:sSub>
                    <m:e>
                      <m:r>
                        <w:rPr>
                          <w:rFonts w:ascii="Cambria Math" w:hAnsi="Cambria Math"/>
                        </w:rPr>
                        <m:t xml:space="preserve">Ind</m:t>
                      </m:r>
                    </m:e>
                    <m:sub>
                      <m:r>
                        <w:rPr>
                          <w:rFonts w:ascii="Cambria Math" w:hAnsi="Cambria Math"/>
                        </w:rPr>
                        <m:t xml:space="preserve">pradžia</m:t>
                      </m:r>
                    </m:sub>
                  </m:sSub>
                </m:den>
              </m:f>
              <m:r>
                <w:rPr>
                  <w:rFonts w:ascii="Cambria Math" w:hAnsi="Cambria Math"/>
                </w:rPr>
                <m:t xml:space="preserve">×</m:t>
              </m:r>
              <m:r>
                <w:rPr>
                  <w:rFonts w:ascii="Cambria Math" w:hAnsi="Cambria Math"/>
                </w:rPr>
                <m:t xml:space="preserve">100</m:t>
              </m:r>
              <m:r>
                <w:rPr>
                  <w:rFonts w:ascii="Cambria Math" w:hAnsi="Cambria Math"/>
                </w:rPr>
                <m:t xml:space="preserve">−</m:t>
              </m:r>
              <m:r>
                <w:rPr>
                  <w:rFonts w:ascii="Cambria Math" w:hAnsi="Cambria Math"/>
                </w:rPr>
                <m:t xml:space="preserve">100</m:t>
              </m:r>
            </m:oMath>
            <w:r>
              <w:rPr>
                <w:color w:val="auto"/>
              </w:rPr>
              <w:t>, (proc.) kur</w:t>
            </w:r>
          </w:p>
          <w:p>
            <w:pPr>
              <w:pStyle w:val="Normal"/>
              <w:jc w:val="both"/>
              <w:textAlignment w:val="baseline"/>
              <w:rPr>
                <w:color w:val="auto"/>
              </w:rPr>
            </w:pPr>
            <w:r>
              <w:rPr>
                <w:color w:val="auto"/>
              </w:rPr>
              <w:t>Ind</w:t>
            </w:r>
            <w:r>
              <w:rPr>
                <w:color w:val="auto"/>
                <w:vertAlign w:val="subscript"/>
              </w:rPr>
              <w:t>naujausias</w:t>
            </w:r>
            <w:r>
              <w:rPr>
                <w:color w:val="auto"/>
              </w:rPr>
              <w:t xml:space="preserve"> – kreipimosi dėl kainos / įkainių peržiūros išsiuntimo kitai Šaliai dieną paskelbtas naujausias vartojimo prekių ir paslaugų indeksas ( „Vartojimo prekių ir paslaugų“).</w:t>
            </w:r>
          </w:p>
          <w:p>
            <w:pPr>
              <w:pStyle w:val="Normal"/>
              <w:jc w:val="both"/>
              <w:rPr>
                <w:color w:val="auto"/>
              </w:rPr>
            </w:pPr>
            <w:r>
              <w:rPr>
                <w:color w:val="auto"/>
              </w:rPr>
              <w:t>Ind</w:t>
            </w:r>
            <w:r>
              <w:rPr>
                <w:color w:val="auto"/>
                <w:vertAlign w:val="subscript"/>
              </w:rPr>
              <w:t>pradžia</w:t>
            </w:r>
            <w:r>
              <w:rPr>
                <w:color w:val="auto"/>
              </w:rPr>
              <w:t xml:space="preserve"> – laikotarpio pradžios datos (mėnesio) vartojimo prekių ir paslaugų indeksas („Vartojimo prekių ir paslaugų“). Pirmojo perskaičiavimo atveju laikotarpio pradžia (mėnuo) yra Sutarties įsigaliojimo dienos mėnuo</w:t>
            </w:r>
            <w:r>
              <w:rPr>
                <w:shd w:fill="FFFFFF" w:val="clear"/>
              </w:rPr>
              <w:t>.</w:t>
            </w:r>
            <w:r>
              <w:rPr>
                <w:color w:val="auto"/>
              </w:rPr>
              <w:t xml:space="preserve"> Antrojo ir vėlesnių perskaičiavimų atveju laikotarpio pradžia (mėnuo) yra paskutinio perskaičiavimo metu naudotos paskelbto atitinkamo indekso reikšmės mėnuo.</w:t>
            </w:r>
          </w:p>
          <w:p>
            <w:pPr>
              <w:pStyle w:val="Normal"/>
              <w:jc w:val="both"/>
              <w:rPr>
                <w:color w:val="auto"/>
                <w:shd w:fill="FFFFFF" w:val="clear"/>
              </w:rPr>
            </w:pPr>
            <w:r>
              <w:rPr>
                <w:color w:val="auto"/>
              </w:rPr>
              <w:t xml:space="preserve">5.3.3.7. </w:t>
            </w:r>
            <w:r>
              <w:rPr>
                <w:shd w:fill="FFFFFF" w:val="clear"/>
              </w:rPr>
              <w:t xml:space="preserve">Skaičiavimams indeksų reikšmės imamos </w:t>
            </w:r>
            <w:r>
              <w:rPr>
                <w:b/>
                <w:shd w:fill="FFFFFF" w:val="clear"/>
              </w:rPr>
              <w:t>keturių</w:t>
            </w:r>
            <w:r>
              <w:rPr>
                <w:shd w:fill="FFFFFF" w:val="clear"/>
              </w:rPr>
              <w:t xml:space="preserve"> skaitmenų po kablelio tikslumu. Apskaičiuotas pokytis (k) tolimesniems skaičiavimams naudojamas suapvalinus iki </w:t>
            </w:r>
            <w:r>
              <w:rPr>
                <w:b/>
                <w:shd w:fill="FFFFFF" w:val="clear"/>
              </w:rPr>
              <w:t>vieno</w:t>
            </w:r>
            <w:r>
              <w:rPr>
                <w:shd w:fill="FFFFFF" w:val="clear"/>
              </w:rPr>
              <w:t xml:space="preserve"> skaitmens po kablelio, o apskaičiuotas įkainis „a</w:t>
            </w:r>
            <w:r>
              <w:rPr>
                <w:shd w:fill="FFFFFF" w:val="clear"/>
                <w:vertAlign w:val="subscript"/>
              </w:rPr>
              <w:t>1</w:t>
            </w:r>
            <w:r>
              <w:rPr>
                <w:shd w:fill="FFFFFF" w:val="clear"/>
              </w:rPr>
              <w:t xml:space="preserve">“ suapvalinamas iki </w:t>
            </w:r>
            <w:r>
              <w:rPr>
                <w:b/>
                <w:shd w:fill="FFFFFF" w:val="clear"/>
              </w:rPr>
              <w:t xml:space="preserve">dviejų </w:t>
            </w:r>
            <w:r>
              <w:rPr>
                <w:shd w:fill="FFFFFF" w:val="clear"/>
              </w:rPr>
              <w:t>skaitmenų po kablelio.</w:t>
            </w:r>
          </w:p>
          <w:p>
            <w:pPr>
              <w:pStyle w:val="Normal"/>
              <w:jc w:val="both"/>
              <w:rPr>
                <w:color w:val="auto"/>
                <w:shd w:fill="FFFFFF" w:val="clear"/>
              </w:rPr>
            </w:pPr>
            <w:r>
              <w:rPr>
                <w:shd w:fill="FFFFFF" w:val="clear"/>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color w:val="auto"/>
              </w:rPr>
              <w:t>kitus oficialius šaltinių duomenis</w:t>
            </w:r>
            <w:r>
              <w:rPr>
                <w:shd w:fill="FFFFFF" w:val="clear"/>
              </w:rPr>
              <w:t>, kita svarbi informacija. Prašyme Šalis neturi teisės nurodyti kito indekso ar prašyti perskaičiavimo pagal kitą indeksą nei nurodytas šioje procedūroje.</w:t>
            </w:r>
          </w:p>
          <w:p>
            <w:pPr>
              <w:pStyle w:val="Normal"/>
              <w:jc w:val="both"/>
              <w:rPr>
                <w:color w:val="auto"/>
                <w:shd w:fill="FFFFFF" w:val="clear"/>
              </w:rPr>
            </w:pPr>
            <w:r>
              <w:rPr>
                <w:shd w:fill="FFFFFF" w:val="clear"/>
              </w:rPr>
              <w:t>5</w:t>
            </w:r>
            <w:r>
              <w:rPr>
                <w:color w:val="auto"/>
              </w:rPr>
              <w:t xml:space="preserve">.3.3.9. </w:t>
            </w:r>
            <w:r>
              <w:rPr>
                <w:shd w:fill="FFFFFF" w:val="clear"/>
              </w:rPr>
              <w:t>Susitarimas turi būti sudarytas per 10 darbo dienų nuo Šalies pateikto tinkamo prašymo perskaičiuoti S</w:t>
            </w:r>
            <w:r>
              <w:rPr>
                <w:color w:val="auto"/>
              </w:rPr>
              <w:t xml:space="preserve">utarties </w:t>
            </w:r>
            <w:r>
              <w:rPr>
                <w:shd w:fill="FFFFFF" w:val="clear"/>
              </w:rPr>
              <w:t>kainą / įkainius gavimo dienos.</w:t>
            </w:r>
          </w:p>
          <w:p>
            <w:pPr>
              <w:pStyle w:val="Normal"/>
              <w:jc w:val="both"/>
              <w:rPr>
                <w:color w:val="auto"/>
              </w:rPr>
            </w:pPr>
            <w:r>
              <w:rPr>
                <w:shd w:fill="FFFFFF" w:val="clear"/>
              </w:rPr>
              <w:t xml:space="preserve">5.3.3.10. </w:t>
            </w:r>
            <w:r>
              <w:rPr>
                <w:color w:val="auto"/>
              </w:rPr>
              <w:t>Susitarimu Šalys neturi teisės keisti procedūroje nurodytos tvarkos ar kitų Sutarties nuostatų, išskyrus, jei keitimas atliekamas pagal VPĮ nuostatas.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5.5. Atsiskaitymo su Tiekėju terminas ir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 xml:space="preserve">Pirkėjas atsiskaito su Tiekėju ne vėliau kaip per </w:t>
            </w:r>
            <w:r>
              <w:rPr>
                <w:color w:themeColor="text1" w:val="000000"/>
                <w:kern w:val="2"/>
                <w:szCs w:val="24"/>
              </w:rPr>
              <w:t>30 (trisdešimt) kalendorinių dienų nu</w:t>
            </w:r>
            <w:r>
              <w:rPr>
                <w:kern w:val="2"/>
                <w:szCs w:val="24"/>
              </w:rPr>
              <w:t>o Sąskaitos gavimo dienos.</w:t>
            </w:r>
          </w:p>
          <w:p>
            <w:pPr>
              <w:pStyle w:val="Normal"/>
              <w:rPr>
                <w:kern w:val="2"/>
                <w:szCs w:val="24"/>
              </w:rPr>
            </w:pPr>
            <w:r>
              <w:rPr>
                <w:kern w:val="2"/>
                <w:szCs w:val="24"/>
              </w:rPr>
            </w:r>
          </w:p>
          <w:p>
            <w:pPr>
              <w:pStyle w:val="Normal"/>
              <w:jc w:val="both"/>
              <w:rPr>
                <w:color w:val="000000"/>
                <w:kern w:val="2"/>
                <w:szCs w:val="24"/>
                <w:shd w:fill="FFFFFF" w:val="clear"/>
              </w:rPr>
            </w:pPr>
            <w:r>
              <w:rPr>
                <w:kern w:val="2"/>
                <w:szCs w:val="24"/>
                <w:shd w:fill="FFFFFF" w:val="clear"/>
              </w:rPr>
              <w:t>Apmokėjimo sąlygos: 1) įvykdžius visus sutartinius įsipareigojimus, sumokama visa Sutarties kaina.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5.6. Avansas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5.7. Avanso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6. PREKIŲ KOKYBĖ IR GARANTINIAI ĮSIPAREIGOJIMAI</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6.1. Garantinis terminas</w:t>
            </w:r>
          </w:p>
          <w:p>
            <w:pPr>
              <w:pStyle w:val="Normal"/>
              <w:rPr>
                <w:b/>
                <w:bCs/>
                <w:kern w:val="2"/>
              </w:rPr>
            </w:pPr>
            <w:r>
              <w:rPr>
                <w:b/>
                <w:bCs/>
                <w:kern w:val="2"/>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Garantinis terminas, skaičiuojamas nuo Prekių perdavimo–priėmimo akto ar Sąskaitos (kai Prekių perdavimo–priėmimo aktas nėra pasirašomas) pasirašymo dienos.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6.2. Garantinė priežiūra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Tiekėjas turi ne vėliau kaip per 30 (trisdešimt dienų) nuo rašytinės pretenzijos gavimo dienos pašalinti Prekių trūkumus. Prekių trūkumų nustatymo bei šalinimo tvarka nustatyta Bendrųjų sąlygų 7 skyriuje.</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6.3. Kokybinių kriterijų įgyvendinimo ir tikrinimo tvarka</w:t>
            </w:r>
          </w:p>
          <w:p>
            <w:pPr>
              <w:pStyle w:val="Normal"/>
              <w:rPr>
                <w:b/>
                <w:bCs/>
                <w:kern w:val="2"/>
                <w:szCs w:val="24"/>
              </w:rPr>
            </w:pPr>
            <w:r>
              <w:rPr>
                <w:b/>
                <w:bCs/>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7. SUTARTIES VYKDYMUI PASITELKIAMI SUBTIEKĖJAI</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Sutarties vykdymui pasitelkiami subtiekėjai ir (ar) specialistai</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Sutarties vykdymui subtiekėjai ir (ar) specialistai nepasitelkiami.</w:t>
            </w:r>
          </w:p>
          <w:p>
            <w:pPr>
              <w:pStyle w:val="Normal"/>
              <w:jc w:val="both"/>
              <w:rPr>
                <w:kern w:val="2"/>
                <w:szCs w:val="24"/>
              </w:rPr>
            </w:pPr>
            <w:r>
              <w:rPr>
                <w:kern w:val="2"/>
                <w:szCs w:val="24"/>
              </w:rPr>
            </w:r>
          </w:p>
          <w:p>
            <w:pPr>
              <w:pStyle w:val="Normal"/>
              <w:jc w:val="both"/>
              <w:rPr>
                <w:color w:val="FF0000"/>
                <w:kern w:val="2"/>
                <w:szCs w:val="24"/>
              </w:rPr>
            </w:pPr>
            <w:r>
              <w:rPr>
                <w:color w:val="FF0000"/>
                <w:kern w:val="2"/>
                <w:szCs w:val="24"/>
              </w:rPr>
              <w:t>arba</w:t>
            </w:r>
          </w:p>
          <w:p>
            <w:pPr>
              <w:pStyle w:val="Normal"/>
              <w:jc w:val="both"/>
              <w:rPr>
                <w:kern w:val="2"/>
                <w:szCs w:val="24"/>
              </w:rPr>
            </w:pPr>
            <w:r>
              <w:rPr>
                <w:kern w:val="2"/>
                <w:szCs w:val="24"/>
              </w:rPr>
            </w:r>
          </w:p>
          <w:p>
            <w:pPr>
              <w:pStyle w:val="Normal"/>
              <w:jc w:val="both"/>
              <w:rPr>
                <w:b/>
                <w:bCs/>
                <w:kern w:val="2"/>
                <w:szCs w:val="24"/>
              </w:rPr>
            </w:pPr>
            <w:r>
              <w:rPr>
                <w:kern w:val="2"/>
                <w:szCs w:val="24"/>
              </w:rPr>
              <w:t>Sutarties vykdymui pasitelkiami subtiekėjai ir (ar) specialistai yra nurodyti Sutarties priede Nr. 4 „Sutarties vykdymui pasitelkiami subtiekėjai ir (ar) specialistai“.</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8. PRIEVOLIŲ PAGAL SUTARTĮ ĮVYKDYMO UŽTIKRINIMAS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8.1. Prievolių pagal Sutartį įvykdymo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Prievolių pagal Sutartį įvykdymas užtikrinamas:</w:t>
            </w:r>
          </w:p>
          <w:p>
            <w:pPr>
              <w:pStyle w:val="Normal"/>
              <w:jc w:val="both"/>
              <w:rPr>
                <w:color w:themeColor="text1" w:val="000000"/>
                <w:kern w:val="2"/>
                <w:szCs w:val="24"/>
              </w:rPr>
            </w:pPr>
            <w:r>
              <w:rPr>
                <w:color w:themeColor="text1" w:val="000000"/>
                <w:kern w:val="2"/>
                <w:szCs w:val="24"/>
              </w:rPr>
              <w:t>8.1.1. Netesybomis (delspinigiais, bauda).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8.2. Sutarties įvykdymo užtikrinimo galiojimo terminas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rPr>
              <w:t>Netaikoma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8.3. Sutarties įvykdymo užtikrinimo pateikimas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rPr>
            </w:pPr>
            <w:r>
              <w:rPr>
                <w:color w:val="000000"/>
                <w:kern w:val="2"/>
                <w:szCs w:val="24"/>
                <w:shd w:fill="FFFFFF" w:val="clear"/>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9. ŠALIŲ ATSAKOMYBĖ</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 Pirkėjui taikomos netesybos už mokėjimų pagal Sutartį vėlavimą</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Pr>
                <w:color w:themeColor="text1" w:val="000000"/>
                <w:kern w:val="2"/>
                <w:szCs w:val="24"/>
              </w:rPr>
              <w:t>0,02 (dvi šimtosios) procento dydžio delspinigius nuo neapmokėtos sumos be PVM už kiekvieną vėlavimo dieną. </w:t>
            </w:r>
            <w:r>
              <w:rPr>
                <w:color w:val="000000"/>
                <w:kern w:val="2"/>
                <w:szCs w:val="24"/>
              </w:rPr>
              <w:t>  </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9.2. Tiekėjui taikomos netesybos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pPr>
            <w:r>
              <w:rPr>
                <w:color w:val="000000"/>
                <w:kern w:val="2"/>
                <w:szCs w:val="24"/>
              </w:rPr>
              <w:t xml:space="preserve">9.2.1. Jeigu Tiekėjas vėluoja vykdyti užsakymą, tiekti Prekes ar ištaisyti jų trūkumus arba nevykdo kitų sutartinių įsipareigojimų, Pirkėjas </w:t>
            </w:r>
            <w:r>
              <w:rPr>
                <w:kern w:val="2"/>
                <w:szCs w:val="24"/>
              </w:rPr>
              <w:t>nuo kitos nei nustatytas terminas dienos Tiekėjui skaičiuoja 5 eurai už kiekvieną uždelstą dieną.</w:t>
            </w:r>
          </w:p>
          <w:p>
            <w:pPr>
              <w:pStyle w:val="Normal"/>
              <w:jc w:val="both"/>
              <w:rPr/>
            </w:pPr>
            <w:r>
              <w:rPr>
                <w:kern w:val="2"/>
                <w:szCs w:val="24"/>
              </w:rPr>
              <w:t xml:space="preserve">9.2.2. </w:t>
            </w:r>
            <w:r>
              <w:rPr>
                <w:szCs w:val="24"/>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pPr>
              <w:pStyle w:val="Normal"/>
              <w:tabs>
                <w:tab w:val="clear" w:pos="1296"/>
                <w:tab w:val="left" w:pos="582" w:leader="none"/>
              </w:tabs>
              <w:jc w:val="both"/>
              <w:rPr/>
            </w:pPr>
            <w:r>
              <w:rPr>
                <w:kern w:val="2"/>
                <w:szCs w:val="24"/>
              </w:rPr>
              <w:t>9.2.3. Tiekėjas privalo sumokėti Pirkėjui netesybas per 10 kalendorinių dienų nuo Pirkėjo pareikalavimo, jeigu netesybų suma nėra išskaitoma iš Tiekėjui mokėtinos sumos.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9.3.1. Nutraukus Sutartį dėl esminio Sutarties pažeidimo, nustatyto Sutarties Specialiosiose sąlygose, mokama 10 (dešimt) procentų dydžio bauda nuo Pradinės Sutarties vertės be PVM, nurodytos Specialiųjų sąlygų 5.2 punkte.</w:t>
            </w:r>
          </w:p>
          <w:p>
            <w:pPr>
              <w:pStyle w:val="Normal"/>
              <w:jc w:val="both"/>
              <w:rPr>
                <w:rFonts w:ascii="Verdana" w:hAnsi="Verdana"/>
                <w:sz w:val="20"/>
              </w:rPr>
            </w:pPr>
            <w:r>
              <w:rPr>
                <w:kern w:val="2"/>
                <w:szCs w:val="24"/>
              </w:rPr>
              <w:t>9.3.2. </w:t>
            </w:r>
            <w:r>
              <w:rPr>
                <w:szCs w:val="24"/>
              </w:rPr>
              <w:t xml:space="preserve">Nepagrįstai nutraukus Sutarties vykdymą ne Sutartyje nustatyta tvarka, mokama </w:t>
            </w:r>
            <w:r>
              <w:rPr>
                <w:kern w:val="2"/>
                <w:szCs w:val="24"/>
              </w:rPr>
              <w:t>10 (dešimt) procentų dydžio bauda nuo Pradinės Sutarties vertės, nurodytos Specialiųjų sąlygų 5.2 punkte.</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9.4. Tiekėjui taikoma bauda dėl esamų subtiekėjų ar specialistų pakeitimo / naujų subtiekėjų pasitelkimo nesilaikant Bendrosiose sąlygose nurodytos subtiekėjų ir (ar) specialistų keitimo tvarkos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color w:val="000000"/>
                <w:kern w:val="2"/>
                <w:szCs w:val="24"/>
              </w:rPr>
            </w:pPr>
            <w:r>
              <w:rPr>
                <w:color w:val="000000"/>
                <w:kern w:val="2"/>
                <w:szCs w:val="24"/>
              </w:rPr>
              <w:t>Netaikoma</w:t>
            </w:r>
          </w:p>
          <w:p>
            <w:pPr>
              <w:pStyle w:val="Normal"/>
              <w:rPr>
                <w:kern w:val="2"/>
                <w:szCs w:val="24"/>
              </w:rPr>
            </w:pPr>
            <w:r>
              <w:rPr>
                <w:kern w:val="2"/>
                <w:szCs w:val="24"/>
              </w:rPr>
            </w:r>
          </w:p>
          <w:p>
            <w:pPr>
              <w:pStyle w:val="Normal"/>
              <w:rPr>
                <w:kern w:val="2"/>
                <w:szCs w:val="24"/>
              </w:rPr>
            </w:pPr>
            <w:r>
              <w:rPr>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9.5. Tiekėjui taikomos baudos dėl aplinkosauginių ir (arba) socialinių kriterijų nesilaikymo</w:t>
            </w:r>
          </w:p>
          <w:p>
            <w:pPr>
              <w:pStyle w:val="Normal"/>
              <w:rPr>
                <w:b/>
                <w:bCs/>
                <w:kern w:val="2"/>
                <w:szCs w:val="24"/>
              </w:rPr>
            </w:pPr>
            <w:r>
              <w:rPr>
                <w:b/>
                <w:bCs/>
                <w:kern w:val="2"/>
                <w:szCs w:val="24"/>
              </w:rPr>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000000"/>
                <w:kern w:val="2"/>
                <w:szCs w:val="24"/>
                <w:shd w:fill="FFFFFF" w:val="clear"/>
              </w:rPr>
            </w:pPr>
            <w:r>
              <w:rPr>
                <w:color w:val="000000"/>
                <w:kern w:val="2"/>
                <w:szCs w:val="24"/>
                <w:shd w:fill="FFFFFF" w:val="clear"/>
              </w:rPr>
              <w:t xml:space="preserve">Tiekėjui dėl aplinkosauginių kriterijų Prekėms, nustatytų vadovaujantis </w:t>
            </w:r>
            <w:r>
              <w:rPr>
                <w:color w:val="000000"/>
                <w:kern w:val="2"/>
                <w:szCs w:val="24"/>
              </w:rPr>
              <w:t>Aplinkos apsaugos kriterijų taikymo, vykdant žaliuosius pirkimus, tvarkos aprašu, patvirtintu Lietuvos Respublikos aplinkos ministro 2011 m. birželio 28 d. įsakymu Nr. D1-508</w:t>
            </w:r>
            <w:r>
              <w:rPr>
                <w:color w:val="000000"/>
                <w:kern w:val="2"/>
                <w:szCs w:val="24"/>
                <w:shd w:fill="FFFFFF" w:val="clear"/>
              </w:rPr>
              <w:t> „Dėl Aplinkos apsaugos kriterijų taikymo, vykdant žaliuosius pirkimus, tvarkos aprašo patvirtinimo“ (toliau – Tvarkos aprašas), taikomos šios baudos:</w:t>
            </w:r>
          </w:p>
          <w:p>
            <w:pPr>
              <w:pStyle w:val="Normal"/>
              <w:jc w:val="both"/>
              <w:rPr>
                <w:color w:themeColor="text1" w:val="000000"/>
                <w:kern w:val="2"/>
                <w:szCs w:val="24"/>
                <w:shd w:fill="FFFFFF" w:val="clear"/>
              </w:rPr>
            </w:pPr>
            <w:r>
              <w:rPr>
                <w:color w:val="000000"/>
                <w:kern w:val="2"/>
                <w:szCs w:val="24"/>
                <w:shd w:fill="FFFFFF" w:val="clear"/>
              </w:rPr>
              <w:t xml:space="preserve">9.5.1. </w:t>
            </w:r>
            <w:r>
              <w:rPr>
                <w:color w:themeColor="text1" w:val="000000"/>
                <w:kern w:val="2"/>
                <w:szCs w:val="24"/>
                <w:shd w:fill="FFFFFF" w:val="clear"/>
              </w:rPr>
              <w:t>4.4.4.</w:t>
            </w:r>
            <w:r>
              <w:rPr>
                <w:color w:themeColor="text1" w:val="000000"/>
                <w:kern w:val="2"/>
                <w:szCs w:val="24"/>
                <w:shd w:fill="FFFFFF" w:val="clear"/>
                <w:lang w:val="en-US"/>
              </w:rPr>
              <w:t>5</w:t>
            </w:r>
            <w:r>
              <w:rPr>
                <w:color w:themeColor="text1" w:val="000000"/>
                <w:kern w:val="2"/>
                <w:szCs w:val="24"/>
                <w:shd w:fill="FFFFFF" w:val="clear"/>
              </w:rPr>
              <w:t xml:space="preserve"> papunkčio pagrindu nustatytas kriterijus – </w:t>
            </w:r>
            <w:r>
              <w:rPr>
                <w:color w:themeColor="text1" w:val="000000"/>
                <w:kern w:val="2"/>
                <w:szCs w:val="24"/>
                <w:shd w:fill="FFFFFF" w:val="clear"/>
                <w:lang w:val="en-US"/>
              </w:rPr>
              <w:t>2</w:t>
            </w:r>
            <w:r>
              <w:rPr>
                <w:color w:themeColor="text1" w:val="000000"/>
                <w:kern w:val="2"/>
                <w:szCs w:val="24"/>
                <w:shd w:fill="FFFFFF" w:val="clear"/>
              </w:rPr>
              <w:t>0 Eur bauda už  kiekvieną pažeidimo atvejį;</w:t>
            </w:r>
          </w:p>
          <w:p>
            <w:pPr>
              <w:pStyle w:val="Normal"/>
              <w:jc w:val="both"/>
              <w:rPr>
                <w:color w:val="000000"/>
              </w:rPr>
            </w:pPr>
            <w:r>
              <w:rPr>
                <w:color w:val="000000"/>
                <w:kern w:val="2"/>
                <w:szCs w:val="24"/>
                <w:shd w:fill="FFFFFF" w:val="clear"/>
              </w:rPr>
              <w:t>9.5.</w:t>
            </w:r>
            <w:r>
              <w:rPr>
                <w:color w:val="000000"/>
                <w:kern w:val="2"/>
                <w:szCs w:val="24"/>
                <w:shd w:fill="FFFFFF" w:val="clear"/>
                <w:lang w:val="en-US"/>
              </w:rPr>
              <w:t>2</w:t>
            </w:r>
            <w:r>
              <w:rPr>
                <w:color w:val="000000"/>
                <w:kern w:val="2"/>
                <w:szCs w:val="24"/>
                <w:shd w:fill="FFFFFF" w:val="clear"/>
              </w:rPr>
              <w:t>. 4.4.4.</w:t>
            </w:r>
            <w:r>
              <w:rPr>
                <w:color w:val="000000"/>
                <w:kern w:val="2"/>
                <w:szCs w:val="24"/>
                <w:shd w:fill="FFFFFF" w:val="clear"/>
                <w:lang w:val="en-US"/>
              </w:rPr>
              <w:t>5</w:t>
            </w:r>
            <w:r>
              <w:rPr>
                <w:color w:val="000000"/>
                <w:kern w:val="2"/>
                <w:szCs w:val="24"/>
                <w:shd w:fill="FFFFFF" w:val="clear"/>
              </w:rPr>
              <w:t xml:space="preserve"> papunkčio pagrindu nustatytas kriterijus – nepakeitus netinkamos kokybės Prekių tinkamomis, taikomos Sutarties nuostatos dėl esminio sutarties pažeidimo, įskaitant Specialiųjų sąlygų 9.3.1 punkte nustatytą baudą;</w:t>
            </w:r>
          </w:p>
          <w:p>
            <w:pPr>
              <w:pStyle w:val="Normal"/>
              <w:jc w:val="both"/>
              <w:rPr>
                <w:color w:themeColor="text1" w:val="000000"/>
                <w:kern w:val="2"/>
                <w:szCs w:val="24"/>
                <w:shd w:fill="FFFFFF" w:val="clear"/>
              </w:rPr>
            </w:pPr>
            <w:r>
              <w:rPr>
                <w:color w:themeColor="text1" w:val="000000"/>
                <w:kern w:val="2"/>
                <w:szCs w:val="24"/>
                <w:shd w:fill="FFFFFF" w:val="clear"/>
              </w:rPr>
            </w:r>
          </w:p>
          <w:p>
            <w:pPr>
              <w:pStyle w:val="Normal"/>
              <w:rPr>
                <w:kern w:val="2"/>
                <w:szCs w:val="24"/>
              </w:rPr>
            </w:pPr>
            <w:r>
              <w:rPr>
                <w:kern w:val="2"/>
                <w:szCs w:val="24"/>
              </w:rPr>
            </w:r>
          </w:p>
          <w:p>
            <w:pPr>
              <w:pStyle w:val="Normal"/>
              <w:jc w:val="both"/>
              <w:rPr>
                <w:color w:val="4472C4"/>
                <w:kern w:val="2"/>
                <w:szCs w:val="24"/>
              </w:rPr>
            </w:pPr>
            <w:r>
              <w:rPr>
                <w:kern w:val="2"/>
                <w:szCs w:val="24"/>
              </w:rPr>
              <w:t>Tiekėjas sumoka nustatyto dydžio baudą arba iki Sutarties galiojimo pabaigos įsipareigoja Lietuvos Respublikos teritorijoje pasodinti baudos vertę atitinkančių medžių skaičių</w:t>
            </w:r>
            <w:r>
              <w:rPr>
                <w:color w:val="4472C4"/>
                <w:kern w:val="2"/>
                <w:szCs w:val="24"/>
              </w:rPr>
              <w:t xml:space="preserve"> </w:t>
            </w:r>
            <w:r>
              <w:rPr>
                <w:color w:themeColor="text1" w:val="000000"/>
                <w:kern w:val="2"/>
                <w:szCs w:val="24"/>
              </w:rPr>
              <w:t xml:space="preserve">(1 medis = 5 Eur) </w:t>
            </w:r>
            <w:r>
              <w:rPr>
                <w:kern w:val="2"/>
                <w:szCs w:val="24"/>
              </w:rPr>
              <w:t>ir Pirkėjui pateikti tai įrodančius dokumentus.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color w:val="4472C4"/>
                <w:kern w:val="2"/>
                <w:szCs w:val="24"/>
              </w:rPr>
            </w:pPr>
            <w:r>
              <w:rPr>
                <w:color w:val="4472C4"/>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Netaikoma</w:t>
            </w:r>
          </w:p>
          <w:p>
            <w:pPr>
              <w:pStyle w:val="Normal"/>
              <w:rPr>
                <w:color w:val="4472C4"/>
                <w:kern w:val="2"/>
                <w:szCs w:val="24"/>
              </w:rPr>
            </w:pPr>
            <w:r>
              <w:rPr>
                <w:color w:val="4472C4"/>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rPr>
                <w:kern w:val="2"/>
                <w:szCs w:val="24"/>
              </w:rPr>
            </w:pPr>
            <w:r>
              <w:rPr>
                <w:color w:themeColor="text1" w:val="000000"/>
                <w:kern w:val="2"/>
                <w:szCs w:val="24"/>
              </w:rPr>
              <w:t>Netaikoma</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szCs w:val="24"/>
              </w:rPr>
            </w:pPr>
            <w:r>
              <w:rPr>
                <w:kern w:val="2"/>
                <w:szCs w:val="24"/>
              </w:rPr>
              <w:t xml:space="preserve">Tiekėjas, pažeidęs įsipareigojimus nurodytus Bendrųjų sąlygų 15 skyriuje, už kiekvieną atskirą pažeidimą Pirkėjui moka </w:t>
            </w:r>
            <w:r>
              <w:rPr>
                <w:kern w:val="2"/>
                <w:szCs w:val="24"/>
                <w:lang w:val="en-US"/>
              </w:rPr>
              <w:t>5</w:t>
            </w:r>
            <w:r>
              <w:rPr>
                <w:kern w:val="2"/>
                <w:szCs w:val="24"/>
              </w:rPr>
              <w:t>00 (</w:t>
            </w:r>
            <w:r>
              <w:rPr>
                <w:kern w:val="2"/>
                <w:szCs w:val="24"/>
                <w:lang w:val="en-US"/>
              </w:rPr>
              <w:t>penki</w:t>
            </w:r>
            <w:r>
              <w:rPr>
                <w:kern w:val="2"/>
                <w:szCs w:val="24"/>
                <w:lang w:val="lt-LT"/>
              </w:rPr>
              <w:t>ų</w:t>
            </w:r>
            <w:r>
              <w:rPr>
                <w:kern w:val="2"/>
                <w:szCs w:val="24"/>
                <w:lang w:val="en-US"/>
              </w:rPr>
              <w:t xml:space="preserve"> </w:t>
            </w:r>
            <w:r>
              <w:rPr>
                <w:kern w:val="2"/>
                <w:szCs w:val="24"/>
                <w:lang w:val="lt-LT"/>
              </w:rPr>
              <w:t>š</w:t>
            </w:r>
            <w:r>
              <w:rPr>
                <w:kern w:val="2"/>
                <w:szCs w:val="24"/>
                <w:lang w:val="en-US"/>
              </w:rPr>
              <w:t>imt</w:t>
            </w:r>
            <w:r>
              <w:rPr>
                <w:kern w:val="2"/>
                <w:szCs w:val="24"/>
                <w:lang w:val="lt-LT"/>
              </w:rPr>
              <w:t>ų</w:t>
            </w:r>
            <w:r>
              <w:rPr>
                <w:kern w:val="2"/>
                <w:szCs w:val="24"/>
              </w:rPr>
              <w:t>) Eur dydžio baudą, kuri laikoma minimaliais nuostoliais, bei atlygina visus Pirkėjo patirtus nuostolius, kiek jų nepadengia numatyta bauda.</w:t>
            </w:r>
          </w:p>
          <w:p>
            <w:pPr>
              <w:pStyle w:val="Normal"/>
              <w:spacing w:lineRule="auto" w:line="259"/>
              <w:rPr>
                <w:kern w:val="2"/>
                <w:sz w:val="22"/>
                <w:szCs w:val="24"/>
              </w:rPr>
            </w:pPr>
            <w:r>
              <w:rPr>
                <w:kern w:val="2"/>
                <w:sz w:val="22"/>
                <w:szCs w:val="24"/>
              </w:rPr>
            </w:r>
          </w:p>
          <w:p>
            <w:pPr>
              <w:pStyle w:val="Normal"/>
              <w:rPr>
                <w:sz w:val="14"/>
                <w:szCs w:val="14"/>
              </w:rPr>
            </w:pPr>
            <w:r>
              <w:rPr>
                <w:sz w:val="14"/>
                <w:szCs w:val="14"/>
              </w:rPr>
            </w:r>
          </w:p>
          <w:p>
            <w:pPr>
              <w:pStyle w:val="Normal"/>
              <w:rPr>
                <w:color w:val="4472C4"/>
                <w:kern w:val="2"/>
                <w:szCs w:val="24"/>
              </w:rPr>
            </w:pPr>
            <w:r>
              <w:rPr>
                <w:color w:val="4472C4"/>
                <w:kern w:val="2"/>
                <w:szCs w:val="24"/>
              </w:rPr>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9.10. Kitos netesybos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color w:val="4472C4"/>
                <w:kern w:val="2"/>
                <w:szCs w:val="24"/>
              </w:rPr>
            </w:pPr>
            <w:r>
              <w:rPr>
                <w:szCs w:val="24"/>
              </w:rPr>
              <w:t>Tiekėjas, 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atlygina nuostolius, susijusius su Sutarties nutraukimu bei kito Prekių tiekėjo samdymu pagal Sutartį Prekėms įsigyti (jei taikoma), kurių nepadengia nurodyta bauda.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kern w:val="2"/>
                <w:szCs w:val="24"/>
              </w:rPr>
              <w:t>10. ESMINĖS SUTARTIES SĄLYGOS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rPr>
            </w:pPr>
            <w:r>
              <w:rPr>
                <w:b/>
                <w:bCs/>
              </w:rPr>
              <w:t>10.1. Esminės Sutarties sąlygos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bCs/>
                <w:kern w:val="2"/>
                <w:szCs w:val="24"/>
              </w:rPr>
            </w:pPr>
            <w:r>
              <w:rPr>
                <w:bCs/>
                <w:kern w:val="2"/>
                <w:szCs w:val="24"/>
              </w:rPr>
              <w:t>10.1.1. Prekės pristatymo terminas;</w:t>
            </w:r>
          </w:p>
          <w:p>
            <w:pPr>
              <w:pStyle w:val="Normal"/>
              <w:jc w:val="both"/>
              <w:rPr>
                <w:b/>
                <w:bCs/>
                <w:color w:val="4472C4"/>
                <w:kern w:val="2"/>
                <w:szCs w:val="24"/>
              </w:rPr>
            </w:pPr>
            <w:r>
              <w:rPr>
                <w:bCs/>
                <w:kern w:val="2"/>
                <w:szCs w:val="24"/>
              </w:rPr>
              <w:t>10.1.2. Prekės kokybė, prekių techniniai parametrai nurodyti techninėje specifikacijoje.</w:t>
            </w:r>
          </w:p>
        </w:tc>
      </w:tr>
      <w:tr>
        <w:trPr>
          <w:trHeight w:val="300" w:hRule="atLeast"/>
        </w:trPr>
        <w:tc>
          <w:tcPr>
            <w:tcW w:w="2701" w:type="dxa"/>
            <w:gridSpan w:val="2"/>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10.2. Dideli arba nuolatiniai esminės Sutarties sąlygos vykdymo trūkumai</w:t>
            </w:r>
          </w:p>
        </w:tc>
        <w:tc>
          <w:tcPr>
            <w:tcW w:w="6833" w:type="dxa"/>
            <w:gridSpan w:val="3"/>
            <w:tcBorders>
              <w:top w:val="single" w:sz="4" w:space="0" w:color="000000"/>
              <w:left w:val="single" w:sz="4" w:space="0" w:color="000000"/>
              <w:bottom w:val="single" w:sz="4" w:space="0" w:color="000000"/>
              <w:right w:val="single" w:sz="4" w:space="0" w:color="000000"/>
            </w:tcBorders>
          </w:tcPr>
          <w:p>
            <w:pPr>
              <w:pStyle w:val="Normal"/>
              <w:tabs>
                <w:tab w:val="clear" w:pos="1296"/>
                <w:tab w:val="left" w:pos="451" w:leader="none"/>
              </w:tabs>
              <w:jc w:val="both"/>
              <w:rPr>
                <w:kern w:val="2"/>
                <w:szCs w:val="24"/>
              </w:rPr>
            </w:pPr>
            <w:r>
              <w:rPr>
                <w:kern w:val="2"/>
                <w:szCs w:val="24"/>
              </w:rPr>
              <w:t>10.2.2. Prekių pristatymo termino pažeidimas ilgiau nei 15 (penkiolika) dienų;</w:t>
            </w:r>
          </w:p>
          <w:p>
            <w:pPr>
              <w:pStyle w:val="Normal"/>
              <w:jc w:val="both"/>
              <w:rPr>
                <w:kern w:val="2"/>
                <w:szCs w:val="24"/>
              </w:rPr>
            </w:pPr>
            <w:r>
              <w:rPr>
                <w:kern w:val="2"/>
                <w:szCs w:val="24"/>
              </w:rPr>
              <w:t>10.2.2. Prekių neatitikimas kokybės reikalavimams.</w:t>
            </w:r>
          </w:p>
          <w:p>
            <w:pPr>
              <w:pStyle w:val="Normal"/>
              <w:rPr>
                <w:kern w:val="2"/>
                <w:szCs w:val="24"/>
              </w:rPr>
            </w:pPr>
            <w:r>
              <w:rPr>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11. SUTARTIES GALIOJIMAS IR KEITIMAS</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11.1. Sutarties sudarymas ir įsigaliojimas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Ši Sutartis laikoma sudaryta, kai (pirma) ją pasirašo abi Šalys, ir (antra) pateikiamas Sutarties įvykdymo užtikrinimas.</w:t>
            </w:r>
          </w:p>
          <w:p>
            <w:pPr>
              <w:pStyle w:val="Normal"/>
              <w:jc w:val="both"/>
              <w:rPr>
                <w:color w:val="4472C4"/>
                <w:kern w:val="2"/>
                <w:szCs w:val="24"/>
              </w:rPr>
            </w:pPr>
            <w:r>
              <w:rPr>
                <w:color w:val="000000"/>
                <w:kern w:val="2"/>
                <w:szCs w:val="24"/>
              </w:rPr>
              <w:t xml:space="preserve">Sutartis galioja </w:t>
            </w:r>
            <w:r>
              <w:rPr>
                <w:color w:val="000000"/>
                <w:kern w:val="2"/>
                <w:szCs w:val="24"/>
                <w:lang w:val="en-US"/>
              </w:rPr>
              <w:t xml:space="preserve">12 </w:t>
            </w:r>
            <w:r>
              <w:rPr>
                <w:kern w:val="2"/>
                <w:szCs w:val="24"/>
              </w:rPr>
              <w:t>(</w:t>
            </w:r>
            <w:r>
              <w:rPr>
                <w:kern w:val="2"/>
                <w:szCs w:val="24"/>
                <w:lang w:val="en-US"/>
              </w:rPr>
              <w:t>dvylika</w:t>
            </w:r>
            <w:r>
              <w:rPr>
                <w:kern w:val="2"/>
                <w:szCs w:val="24"/>
              </w:rPr>
              <w:t>) mėnesi</w:t>
            </w:r>
            <w:r>
              <w:rPr>
                <w:kern w:val="2"/>
                <w:szCs w:val="24"/>
                <w:lang w:val="lt-LT"/>
              </w:rPr>
              <w:t>ų</w:t>
            </w:r>
            <w:r>
              <w:rPr>
                <w:kern w:val="2"/>
                <w:szCs w:val="24"/>
              </w:rPr>
              <w:t>.</w:t>
            </w:r>
          </w:p>
        </w:tc>
      </w:tr>
      <w:tr>
        <w:trPr>
          <w:trHeight w:val="300" w:hRule="atLeast"/>
        </w:trPr>
        <w:tc>
          <w:tcPr>
            <w:tcW w:w="2706" w:type="dxa"/>
            <w:gridSpan w:val="3"/>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11.2. Sutarties galiojimo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Netaikoma</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12. SUTARTIES NUTRAUKIMAS</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12.1. Sutarties nutraukimo pagrindai</w:t>
            </w:r>
          </w:p>
        </w:tc>
        <w:tc>
          <w:tcPr>
            <w:tcW w:w="6848" w:type="dxa"/>
            <w:gridSpan w:val="4"/>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kern w:val="2"/>
                <w:szCs w:val="24"/>
              </w:rPr>
              <w:t>Sutartis gali būti nutraukiama rašytiniu Šalių susitarimu arba vienašališkai, Bendrosiose sąlygose nustatyta tvarka.</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12.2. Esminiai Sutarties pažeidimai</w:t>
            </w:r>
          </w:p>
          <w:p>
            <w:pPr>
              <w:pStyle w:val="Normal"/>
              <w:rPr>
                <w:b/>
                <w:bCs/>
                <w:kern w:val="2"/>
                <w:szCs w:val="24"/>
              </w:rPr>
            </w:pPr>
            <w:r>
              <w:rPr>
                <w:b/>
                <w:bCs/>
                <w:kern w:val="2"/>
                <w:szCs w:val="24"/>
              </w:rPr>
            </w:r>
          </w:p>
        </w:tc>
        <w:tc>
          <w:tcPr>
            <w:tcW w:w="6848" w:type="dxa"/>
            <w:gridSpan w:val="4"/>
            <w:tcBorders>
              <w:top w:val="single" w:sz="4" w:space="0" w:color="000000"/>
              <w:left w:val="single" w:sz="4" w:space="0" w:color="000000"/>
              <w:bottom w:val="single" w:sz="4" w:space="0" w:color="000000"/>
              <w:right w:val="single" w:sz="4" w:space="0" w:color="000000"/>
            </w:tcBorders>
          </w:tcPr>
          <w:p>
            <w:pPr>
              <w:pStyle w:val="Normal"/>
              <w:jc w:val="both"/>
              <w:rPr>
                <w:color w:themeColor="text1" w:val="000000"/>
                <w:kern w:val="2"/>
                <w:szCs w:val="24"/>
              </w:rPr>
            </w:pPr>
            <w:r>
              <w:rPr>
                <w:color w:themeColor="text1" w:val="000000"/>
                <w:kern w:val="2"/>
                <w:szCs w:val="24"/>
              </w:rPr>
              <w:t>12.2.1. jeigu Tiekėjas nevykdo prisiimtų įsipareigojimų už Sutartyje nustatytus Prekių įkainius;</w:t>
            </w:r>
          </w:p>
          <w:p>
            <w:pPr>
              <w:pStyle w:val="Normal"/>
              <w:spacing w:lineRule="auto" w:line="252"/>
              <w:jc w:val="both"/>
              <w:rPr>
                <w:rFonts w:eastAsia="Arial"/>
                <w:color w:themeColor="text1" w:val="000000"/>
                <w:kern w:val="2"/>
                <w:szCs w:val="24"/>
              </w:rPr>
            </w:pPr>
            <w:r>
              <w:rPr>
                <w:rFonts w:eastAsia="Arial"/>
                <w:color w:themeColor="text1" w:val="000000"/>
                <w:kern w:val="2"/>
                <w:szCs w:val="24"/>
              </w:rPr>
              <w:t>12.2.</w:t>
            </w:r>
            <w:r>
              <w:rPr>
                <w:rFonts w:eastAsia="Arial"/>
                <w:color w:themeColor="text1" w:val="000000"/>
                <w:kern w:val="2"/>
                <w:szCs w:val="24"/>
                <w:lang w:val="en-US"/>
              </w:rPr>
              <w:t>2</w:t>
            </w:r>
            <w:r>
              <w:rPr>
                <w:rFonts w:eastAsia="Arial"/>
                <w:color w:themeColor="text1" w:val="000000"/>
                <w:kern w:val="2"/>
                <w:szCs w:val="24"/>
              </w:rPr>
              <w:t>. jeigu Tiekėjas vėluoja pristatyti Prekes daugiau nei 15 (penkiolika) dienų nei Sutartyje nustatytas Prekių pristatymo terminas;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color w:themeColor="text1" w:val="000000"/>
                <w:kern w:val="2"/>
                <w:szCs w:val="24"/>
              </w:rPr>
            </w:pPr>
            <w:r>
              <w:rPr>
                <w:rFonts w:eastAsia="Arial"/>
                <w:color w:themeColor="text1" w:val="000000"/>
                <w:kern w:val="2"/>
                <w:szCs w:val="24"/>
              </w:rPr>
              <w:t>12.2.</w:t>
            </w:r>
            <w:r>
              <w:rPr>
                <w:rFonts w:eastAsia="Arial"/>
                <w:color w:themeColor="text1" w:val="000000"/>
                <w:kern w:val="2"/>
                <w:szCs w:val="24"/>
                <w:lang w:val="en-US"/>
              </w:rPr>
              <w:t>3</w:t>
            </w:r>
            <w:r>
              <w:rPr>
                <w:rFonts w:eastAsia="Arial"/>
                <w:color w:themeColor="text1" w:val="000000"/>
                <w:kern w:val="2"/>
                <w:szCs w:val="24"/>
              </w:rPr>
              <w:t>. Tiekėjas pažeidžia Prekių pristatymo terminus ir dėl Prekių pristatymo vėlavimo Prekės tampa nebereikalingos;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color w:themeColor="text1" w:val="000000"/>
                <w:kern w:val="2"/>
                <w:szCs w:val="24"/>
              </w:rPr>
            </w:pPr>
            <w:r>
              <w:rPr>
                <w:rFonts w:eastAsia="Arial"/>
                <w:color w:themeColor="text1" w:val="000000"/>
                <w:kern w:val="2"/>
                <w:szCs w:val="24"/>
              </w:rPr>
              <w:t>12.2.</w:t>
            </w:r>
            <w:r>
              <w:rPr>
                <w:rFonts w:eastAsia="Arial"/>
                <w:color w:themeColor="text1" w:val="000000"/>
                <w:kern w:val="2"/>
                <w:szCs w:val="24"/>
                <w:lang w:val="en-US"/>
              </w:rPr>
              <w:t>4</w:t>
            </w:r>
            <w:r>
              <w:rPr>
                <w:rFonts w:eastAsia="Arial"/>
                <w:color w:themeColor="text1" w:val="000000"/>
                <w:kern w:val="2"/>
                <w:szCs w:val="24"/>
              </w:rPr>
              <w:t>. Tiekėjas daugiau kaip 2 (du) kartus pristato Prekes, kurios neatitinka Sutartyje ir (ar) Įstatymuose nustatytų reikalavimų Prekėms;</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color w:themeColor="text1" w:val="000000"/>
                <w:kern w:val="2"/>
                <w:szCs w:val="24"/>
              </w:rPr>
            </w:pPr>
            <w:r>
              <w:rPr>
                <w:rFonts w:eastAsia="Arial"/>
                <w:color w:themeColor="text1" w:val="000000"/>
                <w:kern w:val="2"/>
                <w:szCs w:val="24"/>
              </w:rPr>
              <w:t>12.2.</w:t>
            </w:r>
            <w:r>
              <w:rPr>
                <w:rFonts w:eastAsia="Arial"/>
                <w:color w:themeColor="text1" w:val="000000"/>
                <w:kern w:val="2"/>
                <w:szCs w:val="24"/>
                <w:lang w:val="en-US"/>
              </w:rPr>
              <w:t>5</w:t>
            </w:r>
            <w:r>
              <w:rPr>
                <w:rFonts w:eastAsia="Arial"/>
                <w:color w:themeColor="text1" w:val="000000"/>
                <w:kern w:val="2"/>
                <w:szCs w:val="24"/>
              </w:rPr>
              <w:t>. jeigu Tiekėjas pristato nekokybiškas ir (ar) Sutarties reikalavimų neatitinkančias Prekes ir per Pirkėjo nustatytą protingą terminą neištaiso Prekių trūkumų;</w:t>
            </w:r>
          </w:p>
          <w:p>
            <w:pPr>
              <w:pStyle w:val="Normal"/>
              <w:tabs>
                <w:tab w:val="clear" w:pos="1296"/>
                <w:tab w:val="left" w:pos="567" w:leader="none"/>
                <w:tab w:val="left" w:pos="744" w:leader="none"/>
                <w:tab w:val="left" w:pos="851" w:leader="none"/>
                <w:tab w:val="left" w:pos="886" w:leader="none"/>
              </w:tabs>
              <w:spacing w:lineRule="auto" w:line="252"/>
              <w:jc w:val="both"/>
              <w:rPr>
                <w:rFonts w:eastAsia="Arial"/>
                <w:color w:themeColor="text1" w:val="000000"/>
                <w:kern w:val="2"/>
                <w:szCs w:val="24"/>
              </w:rPr>
            </w:pPr>
            <w:r>
              <w:rPr>
                <w:rFonts w:eastAsia="Arial"/>
                <w:color w:themeColor="text1" w:val="000000"/>
                <w:kern w:val="2"/>
                <w:szCs w:val="24"/>
              </w:rPr>
              <w:t>12.2.</w:t>
            </w:r>
            <w:r>
              <w:rPr>
                <w:rFonts w:eastAsia="Arial"/>
                <w:color w:themeColor="text1" w:val="000000"/>
                <w:kern w:val="2"/>
                <w:szCs w:val="24"/>
                <w:lang w:val="en-US"/>
              </w:rPr>
              <w:t>6</w:t>
            </w:r>
            <w:r>
              <w:rPr>
                <w:rFonts w:eastAsia="Arial"/>
                <w:color w:themeColor="text1" w:val="000000"/>
                <w:kern w:val="2"/>
                <w:szCs w:val="24"/>
              </w:rPr>
              <w:t>.Tiekėjas pažeidžia šios Sutarties nuostatas, reglamentuojančias konkurenciją, intelektinės nuosavybės ar konfidencialios informacijos valdymą;</w:t>
            </w:r>
          </w:p>
          <w:p>
            <w:pPr>
              <w:pStyle w:val="Normal"/>
              <w:tabs>
                <w:tab w:val="clear" w:pos="1296"/>
                <w:tab w:val="left" w:pos="567" w:leader="none"/>
                <w:tab w:val="left" w:pos="851" w:leader="none"/>
                <w:tab w:val="left" w:pos="992" w:leader="none"/>
                <w:tab w:val="left" w:pos="1134" w:leader="none"/>
              </w:tabs>
              <w:spacing w:lineRule="auto" w:line="252"/>
              <w:jc w:val="both"/>
              <w:rPr>
                <w:rFonts w:eastAsia="Arial"/>
                <w:color w:themeColor="text1" w:val="000000"/>
                <w:kern w:val="2"/>
                <w:szCs w:val="24"/>
              </w:rPr>
            </w:pPr>
            <w:r>
              <w:rPr>
                <w:rFonts w:eastAsia="Arial"/>
                <w:color w:themeColor="text1" w:val="000000"/>
                <w:kern w:val="2"/>
                <w:szCs w:val="24"/>
              </w:rPr>
              <w:t>12.2.</w:t>
            </w:r>
            <w:r>
              <w:rPr>
                <w:rFonts w:eastAsia="Arial"/>
                <w:color w:themeColor="text1" w:val="000000"/>
                <w:kern w:val="2"/>
                <w:szCs w:val="24"/>
                <w:lang w:val="en-US"/>
              </w:rPr>
              <w:t>7</w:t>
            </w:r>
            <w:r>
              <w:rPr>
                <w:rFonts w:eastAsia="Arial"/>
                <w:color w:themeColor="text1" w:val="000000"/>
                <w:kern w:val="2"/>
                <w:szCs w:val="24"/>
              </w:rPr>
              <w:t>. Tiekėjas pažeidžia Bendrųjų sąlygų nuostatas dėl Sutarties vykdymui pasitelkiamų naujų / esamų subtiekėjų keitimo.</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kern w:val="2"/>
                <w:szCs w:val="24"/>
              </w:rPr>
            </w:pPr>
            <w:r>
              <w:rPr>
                <w:b/>
                <w:bCs/>
                <w:kern w:val="2"/>
                <w:szCs w:val="24"/>
              </w:rPr>
              <w:t>13. APLINKOSAUGINIAI IR SOCIALINIAI KRITERIJAI</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13.1. Aplinkosauginių kriterijų nustatymo teisinis pagrindas</w:t>
            </w:r>
          </w:p>
          <w:p>
            <w:pPr>
              <w:pStyle w:val="Normal"/>
              <w:rPr>
                <w:b/>
                <w:bCs/>
                <w:kern w:val="2"/>
                <w:szCs w:val="24"/>
              </w:rPr>
            </w:pPr>
            <w:r>
              <w:rPr>
                <w:b/>
                <w:bCs/>
                <w:kern w:val="2"/>
                <w:szCs w:val="24"/>
              </w:rPr>
            </w:r>
          </w:p>
        </w:tc>
        <w:tc>
          <w:tcPr>
            <w:tcW w:w="6848" w:type="dxa"/>
            <w:gridSpan w:val="4"/>
            <w:tcBorders>
              <w:top w:val="single" w:sz="4" w:space="0" w:color="000000"/>
              <w:left w:val="single" w:sz="4" w:space="0" w:color="000000"/>
              <w:bottom w:val="single" w:sz="4" w:space="0" w:color="000000"/>
              <w:right w:val="single" w:sz="4" w:space="0" w:color="000000"/>
            </w:tcBorders>
          </w:tcPr>
          <w:p>
            <w:pPr>
              <w:pStyle w:val="Normal"/>
              <w:jc w:val="both"/>
              <w:rPr>
                <w:color w:themeColor="text1" w:val="000000"/>
                <w:kern w:val="2"/>
                <w:szCs w:val="24"/>
              </w:rPr>
            </w:pPr>
            <w:r>
              <w:rPr>
                <w:color w:val="000000"/>
                <w:kern w:val="2"/>
                <w:szCs w:val="24"/>
                <w:shd w:fill="FFFFFF" w:val="clear"/>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fill="FFFFFF" w:val="clear"/>
              </w:rPr>
              <w:t> „Dėl Aplinkos apsaugos kriterijų taikymo, vykdant žaliuosius pirkimus, tvarkos aprašo patvirtinimo“ (toliau – Tvarkos aprašas) 4.4.4.</w:t>
            </w:r>
            <w:r>
              <w:rPr>
                <w:color w:val="000000"/>
                <w:kern w:val="2"/>
                <w:szCs w:val="24"/>
                <w:shd w:fill="FFFFFF" w:val="clear"/>
                <w:lang w:val="en-US"/>
              </w:rPr>
              <w:t>5</w:t>
            </w:r>
            <w:r>
              <w:rPr>
                <w:color w:val="000000"/>
                <w:kern w:val="2"/>
                <w:szCs w:val="24"/>
                <w:shd w:fill="FFFFFF" w:val="clear"/>
              </w:rPr>
              <w:t xml:space="preserve"> papunkčiu ir 6 pu</w:t>
            </w:r>
            <w:r>
              <w:rPr>
                <w:color w:themeColor="text1" w:val="000000"/>
                <w:kern w:val="2"/>
                <w:szCs w:val="24"/>
                <w:shd w:fill="FFFFFF" w:val="clear"/>
              </w:rPr>
              <w:t>nktu.</w:t>
            </w:r>
          </w:p>
          <w:p>
            <w:pPr>
              <w:pStyle w:val="Normal"/>
              <w:jc w:val="both"/>
              <w:rPr>
                <w:color w:val="000000"/>
                <w:kern w:val="2"/>
                <w:szCs w:val="24"/>
                <w:shd w:fill="FFFFFF" w:val="clear"/>
              </w:rPr>
            </w:pPr>
            <w:r>
              <w:rPr>
                <w:color w:val="000000"/>
                <w:kern w:val="2"/>
                <w:szCs w:val="24"/>
                <w:shd w:fill="FFFFFF" w:val="clear"/>
              </w:rPr>
              <w:t>Nustačius, kad Tiekėjas šiame papunktyje nustatyto kriterijaus (-jų) nesilaiko, Tiekėjui taikoma Specialiųjų sąlygų 9.5 punkte nurodyto dydžio bauda.</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13.2.  Su perkamomis Prekėmis susiję socialiniai kriterijai</w:t>
            </w:r>
          </w:p>
        </w:tc>
        <w:tc>
          <w:tcPr>
            <w:tcW w:w="6848" w:type="dxa"/>
            <w:gridSpan w:val="4"/>
            <w:tcBorders>
              <w:top w:val="single" w:sz="4" w:space="0" w:color="000000"/>
              <w:left w:val="single" w:sz="4" w:space="0" w:color="000000"/>
              <w:bottom w:val="single" w:sz="4" w:space="0" w:color="000000"/>
              <w:right w:val="single" w:sz="4" w:space="0" w:color="000000"/>
            </w:tcBorders>
          </w:tcPr>
          <w:p>
            <w:pPr>
              <w:pStyle w:val="Normal"/>
              <w:rPr>
                <w:color w:val="000000"/>
                <w:kern w:val="2"/>
                <w:szCs w:val="24"/>
                <w:shd w:fill="FFFFFF" w:val="clear"/>
              </w:rPr>
            </w:pPr>
            <w:r>
              <w:rPr>
                <w:color w:val="000000"/>
                <w:kern w:val="2"/>
                <w:szCs w:val="24"/>
                <w:shd w:fill="FFFFFF" w:val="clear"/>
              </w:rPr>
              <w:t>Netaikoma</w:t>
            </w:r>
          </w:p>
          <w:p>
            <w:pPr>
              <w:pStyle w:val="Normal"/>
              <w:rPr>
                <w:color w:val="000000"/>
                <w:kern w:val="2"/>
                <w:szCs w:val="24"/>
                <w:shd w:fill="FFFFFF" w:val="clear"/>
              </w:rPr>
            </w:pPr>
            <w:r>
              <w:rPr>
                <w:color w:val="000000"/>
                <w:kern w:val="2"/>
                <w:szCs w:val="24"/>
                <w:shd w:fill="FFFFFF" w:val="clear"/>
              </w:rPr>
            </w:r>
          </w:p>
          <w:p>
            <w:pPr>
              <w:pStyle w:val="Normal"/>
              <w:rPr>
                <w:color w:val="0070C0"/>
                <w:kern w:val="2"/>
                <w:szCs w:val="24"/>
              </w:rPr>
            </w:pPr>
            <w:r>
              <w:rPr>
                <w:color w:val="0070C0"/>
                <w:kern w:val="2"/>
                <w:szCs w:val="24"/>
              </w:rPr>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14. BENDRŲJŲ SĄLYGŲ PAKEITIMAI IR PAPILDYMAI</w:t>
            </w:r>
          </w:p>
          <w:p>
            <w:pPr>
              <w:pStyle w:val="Normal"/>
              <w:jc w:val="center"/>
              <w:rPr>
                <w:kern w:val="2"/>
                <w:szCs w:val="24"/>
              </w:rPr>
            </w:pPr>
            <w:r>
              <w:rPr>
                <w:kern w:val="2"/>
                <w:szCs w:val="24"/>
              </w:rPr>
              <w:t>(jeigu būtina dėl konkretaus Sutarties dalyko specifikos)</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b/>
                <w:bCs/>
                <w:kern w:val="2"/>
                <w:szCs w:val="24"/>
              </w:rPr>
              <w:t>14.1.</w:t>
            </w:r>
          </w:p>
        </w:tc>
        <w:tc>
          <w:tcPr>
            <w:tcW w:w="6848" w:type="dxa"/>
            <w:gridSpan w:val="4"/>
            <w:tcBorders>
              <w:top w:val="single" w:sz="4" w:space="0" w:color="000000"/>
              <w:left w:val="single" w:sz="4" w:space="0" w:color="000000"/>
              <w:bottom w:val="single" w:sz="4" w:space="0" w:color="000000"/>
              <w:right w:val="single" w:sz="4" w:space="0" w:color="000000"/>
            </w:tcBorders>
          </w:tcPr>
          <w:p>
            <w:pPr>
              <w:pStyle w:val="Normal"/>
              <w:jc w:val="both"/>
              <w:rPr>
                <w:kern w:val="2"/>
                <w:szCs w:val="24"/>
              </w:rPr>
            </w:pPr>
            <w:r>
              <w:rPr>
                <w:color w:themeColor="text1" w:val="000000"/>
                <w:kern w:val="2"/>
                <w:szCs w:val="24"/>
              </w:rPr>
              <w:t>Sutarties Bendrosiose sąlygose nurodytos alternatyvios nuostatos (su prierašu „jei taikoma“ ir pan.) taikomos tik tokiu atveju, jeigu jos konkrečiai aprašomos Sutarties Specialiosiose sąlygose.</w:t>
            </w:r>
          </w:p>
        </w:tc>
      </w:tr>
      <w:tr>
        <w:trPr>
          <w:trHeight w:val="300" w:hRule="atLeast"/>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 SUTARTIES PRIEDAI</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15.1. Priedas Nr. 1</w:t>
            </w:r>
          </w:p>
        </w:tc>
        <w:tc>
          <w:tcPr>
            <w:tcW w:w="6848" w:type="dxa"/>
            <w:gridSpan w:val="4"/>
            <w:tcBorders>
              <w:top w:val="single" w:sz="4" w:space="0" w:color="000000"/>
              <w:left w:val="single" w:sz="4" w:space="0" w:color="000000"/>
              <w:bottom w:val="single" w:sz="4" w:space="0" w:color="000000"/>
              <w:right w:val="single" w:sz="4" w:space="0" w:color="000000"/>
            </w:tcBorders>
          </w:tcPr>
          <w:p>
            <w:pPr>
              <w:pStyle w:val="Normal"/>
              <w:rPr>
                <w:b/>
                <w:bCs/>
                <w:kern w:val="2"/>
                <w:szCs w:val="24"/>
              </w:rPr>
            </w:pPr>
            <w:r>
              <w:rPr>
                <w:kern w:val="2"/>
                <w:szCs w:val="24"/>
              </w:rPr>
              <w:t>Techninė specifikacija</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15.2. Priedas Nr. 2</w:t>
            </w:r>
          </w:p>
        </w:tc>
        <w:tc>
          <w:tcPr>
            <w:tcW w:w="6848" w:type="dxa"/>
            <w:gridSpan w:val="4"/>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Pasiūlymas</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15.3. Priedas Nr. 3</w:t>
            </w:r>
          </w:p>
        </w:tc>
        <w:tc>
          <w:tcPr>
            <w:tcW w:w="6848" w:type="dxa"/>
            <w:gridSpan w:val="4"/>
            <w:tcBorders>
              <w:top w:val="single" w:sz="4" w:space="0" w:color="000000"/>
              <w:left w:val="single" w:sz="4" w:space="0" w:color="000000"/>
              <w:bottom w:val="single" w:sz="4" w:space="0" w:color="000000"/>
              <w:right w:val="single" w:sz="4" w:space="0" w:color="000000"/>
            </w:tcBorders>
          </w:tcPr>
          <w:p>
            <w:pPr>
              <w:pStyle w:val="Normal"/>
              <w:rPr>
                <w:kern w:val="2"/>
                <w:szCs w:val="24"/>
              </w:rPr>
            </w:pPr>
            <w:r>
              <w:rPr>
                <w:kern w:val="2"/>
                <w:szCs w:val="24"/>
              </w:rPr>
              <w:t>Prekių kiekiai ir pristatymo adresai</w:t>
            </w:r>
          </w:p>
        </w:tc>
      </w:tr>
      <w:tr>
        <w:trPr>
          <w:trHeight w:val="300" w:hRule="atLeast"/>
        </w:trPr>
        <w:tc>
          <w:tcPr>
            <w:tcW w:w="2686"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15.4. Priedas Nr. 4</w:t>
            </w:r>
          </w:p>
        </w:tc>
        <w:tc>
          <w:tcPr>
            <w:tcW w:w="6848" w:type="dxa"/>
            <w:gridSpan w:val="4"/>
            <w:tcBorders>
              <w:top w:val="single" w:sz="4" w:space="0" w:color="000000"/>
              <w:left w:val="single" w:sz="4" w:space="0" w:color="000000"/>
              <w:bottom w:val="single" w:sz="4" w:space="0" w:color="000000"/>
              <w:right w:val="single" w:sz="4" w:space="0" w:color="000000"/>
            </w:tcBorders>
          </w:tcPr>
          <w:p>
            <w:pPr>
              <w:pStyle w:val="Normal"/>
              <w:rPr>
                <w:kern w:val="2"/>
                <w:szCs w:val="24"/>
              </w:rPr>
            </w:pPr>
            <w:r>
              <w:rPr>
                <w:i/>
                <w:iCs/>
                <w:color w:themeColor="text1" w:val="000000"/>
                <w:kern w:val="2"/>
                <w:szCs w:val="24"/>
              </w:rPr>
              <w:t xml:space="preserve">[Jeigu taikoma] </w:t>
            </w:r>
            <w:r>
              <w:rPr>
                <w:kern w:val="2"/>
                <w:szCs w:val="24"/>
              </w:rPr>
              <w:t>Sutarties vykdymui pasitelkiami subtiekėjai ir (ar) specialistai</w:t>
            </w:r>
          </w:p>
        </w:tc>
      </w:tr>
      <w:tr>
        <w:trPr/>
        <w:tc>
          <w:tcPr>
            <w:tcW w:w="9534" w:type="dxa"/>
            <w:gridSpan w:val="5"/>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16. ŠALIŲ ATSTOVŲ PARAŠAI</w:t>
            </w:r>
          </w:p>
        </w:tc>
      </w:tr>
      <w:tr>
        <w:trPr/>
        <w:tc>
          <w:tcPr>
            <w:tcW w:w="4786"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PIRKĖJAS</w:t>
            </w:r>
          </w:p>
        </w:tc>
        <w:tc>
          <w:tcPr>
            <w:tcW w:w="4748"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b/>
                <w:bCs/>
                <w:kern w:val="2"/>
                <w:szCs w:val="24"/>
              </w:rPr>
              <w:t>TIEKĖJAS</w:t>
            </w:r>
          </w:p>
        </w:tc>
      </w:tr>
      <w:tr>
        <w:trPr/>
        <w:tc>
          <w:tcPr>
            <w:tcW w:w="4786" w:type="dxa"/>
            <w:gridSpan w:val="4"/>
            <w:tcBorders>
              <w:top w:val="single" w:sz="4" w:space="0" w:color="000000"/>
              <w:left w:val="single" w:sz="4" w:space="0" w:color="000000"/>
              <w:bottom w:val="single" w:sz="4" w:space="0" w:color="000000"/>
              <w:right w:val="single" w:sz="4" w:space="0" w:color="000000"/>
            </w:tcBorders>
          </w:tcPr>
          <w:p>
            <w:pPr>
              <w:pStyle w:val="Normal"/>
              <w:jc w:val="center"/>
              <w:rPr>
                <w:color w:val="4472C4"/>
                <w:kern w:val="2"/>
                <w:szCs w:val="24"/>
              </w:rPr>
            </w:pPr>
            <w:r>
              <w:rPr>
                <w:color w:val="00B050"/>
                <w:kern w:val="2"/>
                <w:szCs w:val="24"/>
              </w:rPr>
              <w:t>[nurodomos atstovo pareigos, vardas, pavardė]</w:t>
            </w:r>
          </w:p>
        </w:tc>
        <w:tc>
          <w:tcPr>
            <w:tcW w:w="4748" w:type="dxa"/>
            <w:tcBorders>
              <w:top w:val="single" w:sz="4" w:space="0" w:color="000000"/>
              <w:left w:val="single" w:sz="4" w:space="0" w:color="000000"/>
              <w:bottom w:val="single" w:sz="4" w:space="0" w:color="000000"/>
              <w:right w:val="single" w:sz="4" w:space="0" w:color="000000"/>
            </w:tcBorders>
          </w:tcPr>
          <w:p>
            <w:pPr>
              <w:pStyle w:val="Normal"/>
              <w:jc w:val="center"/>
              <w:rPr>
                <w:b/>
                <w:bCs/>
                <w:kern w:val="2"/>
                <w:szCs w:val="24"/>
              </w:rPr>
            </w:pPr>
            <w:r>
              <w:rPr>
                <w:color w:val="00B050"/>
                <w:kern w:val="2"/>
                <w:szCs w:val="24"/>
              </w:rPr>
              <w:t>[nurodomos atstovo pareigos, vardas, pavardė]</w:t>
            </w:r>
          </w:p>
        </w:tc>
      </w:tr>
      <w:tr>
        <w:trPr/>
        <w:tc>
          <w:tcPr>
            <w:tcW w:w="4786" w:type="dxa"/>
            <w:gridSpan w:val="4"/>
            <w:tcBorders>
              <w:top w:val="single" w:sz="4" w:space="0" w:color="000000"/>
              <w:left w:val="single" w:sz="4" w:space="0" w:color="000000"/>
              <w:bottom w:val="single" w:sz="4" w:space="0" w:color="000000"/>
              <w:right w:val="single" w:sz="4" w:space="0" w:color="000000"/>
            </w:tcBorders>
          </w:tcPr>
          <w:p>
            <w:pPr>
              <w:pStyle w:val="Normal"/>
              <w:jc w:val="center"/>
              <w:rPr>
                <w:b/>
                <w:bCs/>
                <w:color w:val="4472C4"/>
                <w:kern w:val="2"/>
                <w:szCs w:val="24"/>
              </w:rPr>
            </w:pPr>
            <w:r>
              <w:rPr>
                <w:b/>
                <w:bCs/>
                <w:color w:val="4472C4"/>
                <w:kern w:val="2"/>
                <w:szCs w:val="24"/>
              </w:rPr>
            </w:r>
          </w:p>
          <w:p>
            <w:pPr>
              <w:pStyle w:val="Normal"/>
              <w:jc w:val="center"/>
              <w:rPr>
                <w:b/>
                <w:bCs/>
                <w:color w:themeColor="text1" w:val="000000"/>
                <w:kern w:val="2"/>
                <w:szCs w:val="24"/>
              </w:rPr>
            </w:pPr>
            <w:r>
              <w:rPr>
                <w:b/>
                <w:bCs/>
                <w:color w:themeColor="text1" w:val="000000"/>
                <w:kern w:val="2"/>
                <w:szCs w:val="24"/>
              </w:rPr>
              <w:t>(parašas)</w:t>
            </w:r>
          </w:p>
          <w:p>
            <w:pPr>
              <w:pStyle w:val="Normal"/>
              <w:jc w:val="center"/>
              <w:rPr>
                <w:b/>
                <w:bCs/>
                <w:color w:val="4472C4"/>
                <w:kern w:val="2"/>
                <w:szCs w:val="24"/>
              </w:rPr>
            </w:pPr>
            <w:r>
              <w:rPr>
                <w:b/>
                <w:bCs/>
                <w:color w:val="4472C4"/>
                <w:kern w:val="2"/>
                <w:szCs w:val="24"/>
              </w:rPr>
            </w:r>
          </w:p>
          <w:p>
            <w:pPr>
              <w:pStyle w:val="Normal"/>
              <w:jc w:val="center"/>
              <w:rPr>
                <w:b/>
                <w:bCs/>
                <w:color w:val="4472C4"/>
                <w:kern w:val="2"/>
                <w:szCs w:val="24"/>
              </w:rPr>
            </w:pPr>
            <w:r>
              <w:rPr>
                <w:b/>
                <w:bCs/>
                <w:color w:val="4472C4"/>
                <w:kern w:val="2"/>
                <w:szCs w:val="24"/>
              </w:rPr>
            </w:r>
          </w:p>
        </w:tc>
        <w:tc>
          <w:tcPr>
            <w:tcW w:w="4748" w:type="dxa"/>
            <w:tcBorders>
              <w:top w:val="single" w:sz="4" w:space="0" w:color="000000"/>
              <w:left w:val="single" w:sz="4" w:space="0" w:color="000000"/>
              <w:bottom w:val="single" w:sz="4" w:space="0" w:color="000000"/>
              <w:right w:val="single" w:sz="4" w:space="0" w:color="000000"/>
            </w:tcBorders>
          </w:tcPr>
          <w:p>
            <w:pPr>
              <w:pStyle w:val="Normal"/>
              <w:jc w:val="center"/>
              <w:rPr>
                <w:b/>
                <w:bCs/>
                <w:color w:val="4472C4"/>
                <w:kern w:val="2"/>
                <w:szCs w:val="24"/>
              </w:rPr>
            </w:pPr>
            <w:r>
              <w:rPr>
                <w:b/>
                <w:bCs/>
                <w:color w:val="4472C4"/>
                <w:kern w:val="2"/>
                <w:szCs w:val="24"/>
              </w:rPr>
            </w:r>
          </w:p>
          <w:p>
            <w:pPr>
              <w:pStyle w:val="Normal"/>
              <w:jc w:val="center"/>
              <w:rPr>
                <w:b/>
                <w:bCs/>
                <w:color w:val="4472C4"/>
                <w:kern w:val="2"/>
                <w:szCs w:val="24"/>
              </w:rPr>
            </w:pPr>
            <w:r>
              <w:rPr>
                <w:b/>
                <w:bCs/>
                <w:color w:themeColor="text1" w:val="000000"/>
                <w:kern w:val="2"/>
                <w:szCs w:val="24"/>
              </w:rPr>
              <w:t>(parašas)</w:t>
            </w:r>
          </w:p>
        </w:tc>
      </w:tr>
    </w:tbl>
    <w:p>
      <w:pPr>
        <w:pStyle w:val="Normal"/>
        <w:widowControl w:val="false"/>
        <w:tabs>
          <w:tab w:val="clear" w:pos="1296"/>
          <w:tab w:val="left" w:pos="567" w:leader="none"/>
          <w:tab w:val="left" w:pos="851" w:leader="none"/>
        </w:tabs>
        <w:jc w:val="center"/>
        <w:rPr>
          <w:b/>
          <w:bCs/>
          <w:caps/>
          <w:kern w:val="2"/>
          <w:szCs w:val="24"/>
        </w:rPr>
      </w:pPr>
      <w:r>
        <w:rPr>
          <w:b/>
          <w:bCs/>
          <w:caps/>
          <w:kern w:val="2"/>
          <w:szCs w:val="24"/>
        </w:rPr>
      </w:r>
    </w:p>
    <w:p>
      <w:pPr>
        <w:pStyle w:val="Normal"/>
        <w:jc w:val="center"/>
        <w:rPr>
          <w:szCs w:val="24"/>
        </w:rPr>
      </w:pPr>
      <w:r>
        <w:rPr>
          <w:color w:val="000000"/>
          <w:szCs w:val="24"/>
        </w:rPr>
        <w:t>_______________</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tLeast" w:line="257"/>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pPr>
        <w:pStyle w:val="Normal"/>
        <w:spacing w:lineRule="atLeast" w:line="257"/>
        <w:ind w:firstLine="62"/>
        <w:jc w:val="center"/>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  PAGRINDINĖS SĄVOKOS IR SUTARTIES AIŠKINIMAS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1.1. Sąvokos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1.1.1. Šioje Sutartyje didžiąja raide rašomos sąvokos turi paskiau nurodytas reikšmes:</w:t>
      </w:r>
    </w:p>
    <w:p>
      <w:pPr>
        <w:pStyle w:val="Normal"/>
        <w:spacing w:lineRule="atLeast" w:line="257"/>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pPr>
        <w:pStyle w:val="Normal"/>
        <w:spacing w:lineRule="atLeast" w:line="257"/>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pPr>
        <w:pStyle w:val="Normal"/>
        <w:spacing w:lineRule="atLeast" w:line="257"/>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pPr>
        <w:pStyle w:val="Normal"/>
        <w:spacing w:lineRule="atLeast" w:line="257"/>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pPr>
        <w:pStyle w:val="Normal"/>
        <w:spacing w:lineRule="atLeast" w:line="257"/>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pPr>
        <w:pStyle w:val="Normal"/>
        <w:spacing w:lineRule="atLeast" w:line="257"/>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pPr>
        <w:pStyle w:val="Normal"/>
        <w:spacing w:lineRule="atLeast" w:line="257"/>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pPr>
        <w:pStyle w:val="Normal"/>
        <w:spacing w:lineRule="atLeast" w:line="257"/>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pPr>
        <w:pStyle w:val="Normal"/>
        <w:spacing w:lineRule="atLeast" w:line="257"/>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pPr>
        <w:pStyle w:val="Normal"/>
        <w:spacing w:lineRule="atLeast" w:line="257"/>
        <w:jc w:val="both"/>
        <w:rPr>
          <w:szCs w:val="24"/>
        </w:rPr>
      </w:pPr>
      <w:r>
        <w:rPr>
          <w:szCs w:val="24"/>
        </w:rPr>
        <w:t>1.1.1.10. </w:t>
      </w:r>
      <w:r>
        <w:rPr>
          <w:b/>
          <w:bCs/>
          <w:szCs w:val="24"/>
        </w:rPr>
        <w:t>Sutarties kaina</w:t>
      </w:r>
      <w:r>
        <w:rPr>
          <w:szCs w:val="24"/>
        </w:rPr>
        <w:t> – pagal Sutartį Tiekėjui mokėtina suma, įskaitant visus privalomus mokesčius ir išlaidas;</w:t>
      </w:r>
    </w:p>
    <w:p>
      <w:pPr>
        <w:pStyle w:val="Normal"/>
        <w:spacing w:lineRule="atLeast" w:line="257"/>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pPr>
        <w:pStyle w:val="Normal"/>
        <w:spacing w:lineRule="atLeast" w:line="257"/>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pPr>
        <w:pStyle w:val="Normal"/>
        <w:spacing w:lineRule="atLeast" w:line="257"/>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pPr>
        <w:pStyle w:val="Normal"/>
        <w:spacing w:lineRule="atLeast" w:line="257"/>
        <w:jc w:val="both"/>
        <w:rPr>
          <w:color w:val="000000"/>
          <w:szCs w:val="24"/>
        </w:rPr>
      </w:pPr>
      <w:r>
        <w:rPr>
          <w:color w:val="000000"/>
          <w:szCs w:val="24"/>
        </w:rPr>
        <w:t>1.1.1.14. </w:t>
      </w:r>
      <w:r>
        <w:rPr>
          <w:b/>
          <w:bCs/>
          <w:color w:val="000000"/>
          <w:szCs w:val="24"/>
        </w:rPr>
        <w:t>Šalys</w:t>
      </w:r>
      <w:r>
        <w:rPr>
          <w:color w:val="000000"/>
          <w:szCs w:val="24"/>
        </w:rPr>
        <w:t> – Pirkėjas ir Tiekėjas kartu;</w:t>
      </w:r>
    </w:p>
    <w:p>
      <w:pPr>
        <w:pStyle w:val="Normal"/>
        <w:spacing w:lineRule="atLeast" w:line="257"/>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pPr>
        <w:pStyle w:val="Normal"/>
        <w:spacing w:lineRule="atLeast" w:line="257"/>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pPr>
        <w:pStyle w:val="Normal"/>
        <w:spacing w:lineRule="atLeast" w:line="257"/>
        <w:jc w:val="both"/>
        <w:rPr>
          <w:color w:val="000000"/>
          <w:szCs w:val="24"/>
        </w:rPr>
      </w:pPr>
      <w:r>
        <w:rPr>
          <w:color w:val="000000"/>
          <w:szCs w:val="24"/>
        </w:rPr>
        <w:t>1.1.1.17. Kitų Sutartyje didžiąja raide rašomų sąvokų reikšmės yra nurodytos Sutarties tekste.</w:t>
      </w:r>
    </w:p>
    <w:p>
      <w:pPr>
        <w:pStyle w:val="Normal"/>
        <w:spacing w:lineRule="atLeast" w:line="257"/>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pPr>
        <w:pStyle w:val="Normal"/>
        <w:spacing w:lineRule="atLeast" w:line="257"/>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1.2.  Sutarties aiškinimas</w:t>
      </w:r>
    </w:p>
    <w:p>
      <w:pPr>
        <w:pStyle w:val="Normal"/>
        <w:spacing w:lineRule="atLeast" w:line="257"/>
        <w:ind w:firstLine="62" w:left="792"/>
        <w:jc w:val="both"/>
        <w:rPr>
          <w:color w:val="000000"/>
          <w:szCs w:val="24"/>
        </w:rPr>
      </w:pPr>
      <w:r>
        <w:rPr>
          <w:color w:val="000000"/>
          <w:szCs w:val="24"/>
        </w:rPr>
      </w:r>
    </w:p>
    <w:p>
      <w:pPr>
        <w:pStyle w:val="Normal"/>
        <w:spacing w:lineRule="atLeast" w:line="257"/>
        <w:jc w:val="both"/>
        <w:rPr>
          <w:color w:val="000000"/>
          <w:szCs w:val="24"/>
        </w:rPr>
      </w:pPr>
      <w:r>
        <w:rPr>
          <w:color w:val="000000"/>
          <w:szCs w:val="24"/>
        </w:rPr>
        <w:t>1.2.1. Sutartis yra sudaryta ir turi būti aiškinama pagal Lietuvos Respublikos teisės aktus.</w:t>
      </w:r>
    </w:p>
    <w:p>
      <w:pPr>
        <w:pStyle w:val="Normal"/>
        <w:spacing w:lineRule="atLeast" w:line="257"/>
        <w:jc w:val="both"/>
        <w:rPr>
          <w:color w:val="000000"/>
          <w:szCs w:val="24"/>
        </w:rPr>
      </w:pPr>
      <w:r>
        <w:rPr>
          <w:color w:val="000000"/>
          <w:szCs w:val="24"/>
        </w:rPr>
        <w:t>1.2.2. Jei Bendrosios sąlygos ir (ar) Specialiosios sąlygos prieštarauja VPĮ ir kitų teisės aktų reikalavimams, taikomos VPĮ ir kitų teisės aktų nuostatos.</w:t>
      </w:r>
    </w:p>
    <w:p>
      <w:pPr>
        <w:pStyle w:val="Normal"/>
        <w:spacing w:lineRule="atLeast" w:line="257"/>
        <w:jc w:val="both"/>
        <w:rPr>
          <w:color w:val="000000"/>
          <w:szCs w:val="24"/>
        </w:rPr>
      </w:pPr>
      <w:r>
        <w:rPr>
          <w:color w:val="000000"/>
          <w:szCs w:val="24"/>
        </w:rPr>
        <w:t>1.2.3. Diena Sutartyje reiškia kalendorinę dieną.</w:t>
      </w:r>
    </w:p>
    <w:p>
      <w:pPr>
        <w:pStyle w:val="Normal"/>
        <w:spacing w:lineRule="atLeast" w:line="257"/>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pPr>
        <w:pStyle w:val="Normal"/>
        <w:spacing w:lineRule="atLeast" w:line="257"/>
        <w:jc w:val="both"/>
        <w:rPr>
          <w:color w:val="000000"/>
          <w:szCs w:val="24"/>
        </w:rPr>
      </w:pPr>
      <w:r>
        <w:rPr>
          <w:color w:val="000000"/>
          <w:szCs w:val="24"/>
        </w:rPr>
        <w:t>1.2.5. Terminai pagal Sutartį yra skaičiuojami metais, mėnesiais, savaitėmis, darbo dienomis, kalendorinėmis dienomis ir valandomis ir minutėmis.</w:t>
      </w:r>
    </w:p>
    <w:p>
      <w:pPr>
        <w:pStyle w:val="Normal"/>
        <w:spacing w:lineRule="atLeast" w:line="257"/>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pPr>
        <w:pStyle w:val="Normal"/>
        <w:spacing w:lineRule="atLeast" w:line="257"/>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pPr>
        <w:pStyle w:val="Normal"/>
        <w:spacing w:lineRule="atLeast" w:line="257"/>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pPr>
        <w:pStyle w:val="Normal"/>
        <w:spacing w:lineRule="atLeast" w:line="257"/>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pPr>
        <w:pStyle w:val="Normal"/>
        <w:spacing w:lineRule="atLeast" w:line="257"/>
        <w:jc w:val="both"/>
        <w:rPr>
          <w:color w:val="000000"/>
          <w:szCs w:val="24"/>
        </w:rPr>
      </w:pPr>
      <w:r>
        <w:rPr>
          <w:color w:val="000000"/>
          <w:szCs w:val="24"/>
        </w:rPr>
        <w:t>1.2.10. </w:t>
      </w:r>
      <w:r>
        <w:rPr>
          <w:color w:val="000000"/>
          <w:szCs w:val="24"/>
          <w:shd w:fill="FFFFFF" w:val="clear"/>
        </w:rPr>
        <w:t>Jeigu Sutartyje nenurodyta kitaip, žodžiai, vartojami vienaskaitos forma taip pat reiškia ir daugiskaitą ir atvirkščiai, vienos giminės žodžiai apima ir kitos giminės atitinkamus žodžius, žodis asmuo reiškia tiek fizinius, tiek ir juridinius asmenis.</w:t>
      </w:r>
    </w:p>
    <w:p>
      <w:pPr>
        <w:pStyle w:val="Normal"/>
        <w:spacing w:lineRule="atLeast" w:line="257"/>
        <w:jc w:val="both"/>
        <w:rPr>
          <w:color w:val="000000"/>
          <w:szCs w:val="24"/>
        </w:rPr>
      </w:pPr>
      <w:r>
        <w:rPr>
          <w:color w:val="000000"/>
          <w:szCs w:val="24"/>
        </w:rPr>
        <w:t>1.2.11. </w:t>
      </w:r>
      <w:r>
        <w:rPr>
          <w:color w:val="000000"/>
          <w:szCs w:val="24"/>
          <w:shd w:fill="FFFFFF" w:val="clear"/>
        </w:rPr>
        <w:t>Jeigu Sutartyje nurodyta reikšmė skaičiais ir žodžiais skiriasi, vadovaujamasi žodžiais nurodyta reikšme.</w:t>
      </w:r>
    </w:p>
    <w:p>
      <w:pPr>
        <w:pStyle w:val="Normal"/>
        <w:spacing w:lineRule="atLeast" w:line="257"/>
        <w:jc w:val="both"/>
        <w:rPr>
          <w:color w:val="000000"/>
          <w:szCs w:val="24"/>
        </w:rPr>
      </w:pPr>
      <w:r>
        <w:rPr>
          <w:color w:val="000000"/>
          <w:szCs w:val="24"/>
        </w:rPr>
        <w:t>1.2.12. </w:t>
      </w:r>
      <w:r>
        <w:rPr>
          <w:color w:val="000000"/>
          <w:szCs w:val="24"/>
          <w:shd w:fill="FFFFFF" w:val="clear"/>
        </w:rPr>
        <w:t>Jei pateikiamos nuorodos į teisės aktus, turi būti taikomos aktualios teisės aktų redakcijos, jeigu nenurodyta kitaip.</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1.3. Dokumentų viršenybė</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pPr>
        <w:pStyle w:val="Normal"/>
        <w:spacing w:lineRule="atLeast" w:line="276"/>
        <w:jc w:val="both"/>
        <w:rPr>
          <w:color w:val="000000"/>
          <w:szCs w:val="24"/>
        </w:rPr>
      </w:pPr>
      <w:r>
        <w:rPr>
          <w:color w:val="000000"/>
          <w:szCs w:val="24"/>
        </w:rPr>
        <w:t>1.3.1.1. Techninė specifikacija;</w:t>
      </w:r>
    </w:p>
    <w:p>
      <w:pPr>
        <w:pStyle w:val="Normal"/>
        <w:spacing w:lineRule="atLeast" w:line="276"/>
        <w:jc w:val="both"/>
        <w:rPr>
          <w:color w:val="000000"/>
          <w:szCs w:val="24"/>
        </w:rPr>
      </w:pPr>
      <w:r>
        <w:rPr>
          <w:color w:val="000000"/>
          <w:szCs w:val="24"/>
        </w:rPr>
        <w:t>1.3.1.2. Specialiosios sąlygos;</w:t>
      </w:r>
    </w:p>
    <w:p>
      <w:pPr>
        <w:pStyle w:val="Normal"/>
        <w:spacing w:lineRule="atLeast" w:line="276"/>
        <w:jc w:val="both"/>
        <w:rPr>
          <w:color w:val="000000"/>
          <w:szCs w:val="24"/>
        </w:rPr>
      </w:pPr>
      <w:r>
        <w:rPr>
          <w:color w:val="000000"/>
          <w:szCs w:val="24"/>
        </w:rPr>
        <w:t>1.3.1.3. Bendrosios sąlygos;</w:t>
      </w:r>
    </w:p>
    <w:p>
      <w:pPr>
        <w:pStyle w:val="Normal"/>
        <w:spacing w:lineRule="atLeast" w:line="276"/>
        <w:jc w:val="both"/>
        <w:rPr>
          <w:color w:val="000000"/>
          <w:szCs w:val="24"/>
        </w:rPr>
      </w:pPr>
      <w:r>
        <w:rPr>
          <w:color w:val="000000"/>
          <w:szCs w:val="24"/>
        </w:rPr>
        <w:t>1.3.1.4. Pirkimo dokumentai (išskyrus techninę specifikaciją);</w:t>
      </w:r>
    </w:p>
    <w:p>
      <w:pPr>
        <w:pStyle w:val="Normal"/>
        <w:spacing w:lineRule="atLeast" w:line="276"/>
        <w:jc w:val="both"/>
        <w:rPr>
          <w:color w:val="000000"/>
          <w:szCs w:val="24"/>
        </w:rPr>
      </w:pPr>
      <w:r>
        <w:rPr>
          <w:color w:val="000000"/>
          <w:szCs w:val="24"/>
        </w:rPr>
        <w:t>1.3.1.5. Pasiūlymas;</w:t>
      </w:r>
    </w:p>
    <w:p>
      <w:pPr>
        <w:pStyle w:val="Normal"/>
        <w:spacing w:lineRule="atLeast" w:line="276"/>
        <w:jc w:val="both"/>
        <w:rPr>
          <w:color w:val="000000"/>
          <w:szCs w:val="24"/>
        </w:rPr>
      </w:pPr>
      <w:r>
        <w:rPr>
          <w:color w:val="000000"/>
          <w:szCs w:val="24"/>
        </w:rPr>
        <w:t>1.3.1.6. Kiti Specialiosiose sąlygose išvardinti priedai.</w:t>
      </w:r>
    </w:p>
    <w:p>
      <w:pPr>
        <w:pStyle w:val="Normal"/>
        <w:spacing w:lineRule="atLeast" w:line="257"/>
        <w:jc w:val="both"/>
        <w:rPr>
          <w:color w:val="000000"/>
          <w:szCs w:val="24"/>
        </w:rPr>
      </w:pPr>
      <w:r>
        <w:rPr>
          <w:color w:val="000000"/>
          <w:szCs w:val="24"/>
        </w:rPr>
        <w:t>1.3.2. Tuo atveju, kai Šalių Susitarimu yra keičiamos Sutarties sąlygos, naujai sutartos Sutarties sąlygos turi viršenybę prieš pakeistąsias.</w:t>
      </w:r>
    </w:p>
    <w:p>
      <w:pPr>
        <w:pStyle w:val="Normal"/>
        <w:spacing w:lineRule="atLeast" w:line="257"/>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pPr>
        <w:pStyle w:val="Normal"/>
        <w:spacing w:lineRule="atLeast" w:line="257"/>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  SUTARTIES DALYKAS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pPr>
        <w:pStyle w:val="Normal"/>
        <w:spacing w:lineRule="atLeast" w:line="257"/>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pPr>
        <w:pStyle w:val="Normal"/>
        <w:spacing w:lineRule="atLeast" w:line="257"/>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3.  TIEKĖJAS IR KITI SUTARTIES VYKDYMUI PASITELKIAMI ASMENYS</w:t>
      </w:r>
    </w:p>
    <w:p>
      <w:pPr>
        <w:pStyle w:val="Normal"/>
        <w:spacing w:lineRule="atLeast" w:line="257"/>
        <w:ind w:firstLine="62"/>
        <w:rPr>
          <w:color w:val="000000"/>
          <w:szCs w:val="24"/>
        </w:rPr>
      </w:pPr>
      <w:r>
        <w:rPr>
          <w:color w:val="000000"/>
          <w:szCs w:val="24"/>
        </w:rPr>
      </w:r>
    </w:p>
    <w:p>
      <w:pPr>
        <w:pStyle w:val="Normal"/>
        <w:spacing w:lineRule="atLeast" w:line="257"/>
        <w:jc w:val="center"/>
        <w:rPr>
          <w:color w:val="000000"/>
          <w:szCs w:val="24"/>
        </w:rPr>
      </w:pPr>
      <w:r>
        <w:rPr>
          <w:b/>
          <w:bCs/>
          <w:color w:val="000000"/>
          <w:szCs w:val="24"/>
        </w:rPr>
        <w:t>3.1.  Kvalifikacija ir kiti Tiekėjo pasiūlymu prisiimti įsipareigojimai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pPr>
        <w:pStyle w:val="Normal"/>
        <w:spacing w:lineRule="atLeast" w:line="257"/>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pPr>
        <w:pStyle w:val="Normal"/>
        <w:spacing w:lineRule="atLeast" w:line="257"/>
        <w:jc w:val="both"/>
        <w:rPr>
          <w:color w:val="000000"/>
          <w:szCs w:val="24"/>
        </w:rPr>
      </w:pPr>
      <w:r>
        <w:rPr>
          <w:color w:val="000000"/>
          <w:szCs w:val="24"/>
        </w:rPr>
        <w:t>3.1.1.2. atitiktų tiekėjų kvalifikacijai pirkimo dokumentuose nustatytus reikalavimus bei neturėtų pirkimo dokumentuose nustatytų pašalinimo pagrindų;</w:t>
      </w:r>
    </w:p>
    <w:p>
      <w:pPr>
        <w:pStyle w:val="Normal"/>
        <w:spacing w:lineRule="atLeast" w:line="257"/>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pPr>
        <w:pStyle w:val="Normal"/>
        <w:spacing w:lineRule="atLeast" w:line="257"/>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pPr>
        <w:pStyle w:val="Normal"/>
        <w:spacing w:lineRule="atLeast" w:line="257"/>
        <w:jc w:val="both"/>
        <w:rPr>
          <w:color w:val="000000"/>
          <w:szCs w:val="24"/>
        </w:rPr>
      </w:pPr>
      <w:r>
        <w:rPr>
          <w:color w:val="000000"/>
          <w:szCs w:val="24"/>
        </w:rPr>
        <w:t>3.1.1.5. </w:t>
      </w:r>
      <w:r>
        <w:rPr>
          <w:color w:val="000000"/>
          <w:szCs w:val="24"/>
          <w:shd w:fill="FFFFFF" w:val="clear"/>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fill="FFFFFF" w:val="clear"/>
        </w:rPr>
        <w:t>, jei tokie reikalavimai buvo numatyti pirkimo dokumentuose</w:t>
      </w:r>
      <w:r>
        <w:rPr>
          <w:color w:val="000000"/>
          <w:szCs w:val="24"/>
        </w:rPr>
        <w:t>.</w:t>
      </w:r>
    </w:p>
    <w:p>
      <w:pPr>
        <w:pStyle w:val="Normal"/>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fill="FFFFFF" w:val="clear"/>
        </w:rPr>
        <w:t>Jeigu Tiekėjas remiasi </w:t>
      </w:r>
      <w:r>
        <w:rPr>
          <w:color w:val="000000"/>
          <w:szCs w:val="24"/>
        </w:rPr>
        <w:t>ūkio </w:t>
      </w:r>
      <w:r>
        <w:rPr>
          <w:color w:val="000000"/>
          <w:szCs w:val="24"/>
          <w:shd w:fill="FFFFFF" w:val="clear"/>
        </w:rPr>
        <w:t>subjektų pajėgumais, siekdamas atitikti finansinio ir ekonominio pajėgumo reikalavimus, Tiekėjas su tokiais </w:t>
      </w:r>
      <w:r>
        <w:rPr>
          <w:color w:val="000000"/>
          <w:szCs w:val="24"/>
        </w:rPr>
        <w:t>ūkio </w:t>
      </w:r>
      <w:r>
        <w:rPr>
          <w:color w:val="000000"/>
          <w:szCs w:val="24"/>
          <w:shd w:fill="FFFFFF" w:val="clear"/>
        </w:rPr>
        <w:t>subjektais už Sutarties vykdymą atsako solidariai (jeigu to buvo reikalaujama pirkimo dokumentuose).</w:t>
      </w:r>
    </w:p>
    <w:p>
      <w:pPr>
        <w:pStyle w:val="Normal"/>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pPr>
        <w:pStyle w:val="Normal"/>
        <w:spacing w:lineRule="atLeast" w:line="257"/>
        <w:ind w:firstLine="62"/>
        <w:jc w:val="both"/>
        <w:rPr>
          <w:color w:val="000000"/>
          <w:szCs w:val="24"/>
        </w:rPr>
      </w:pPr>
      <w:r>
        <w:rPr>
          <w:color w:val="000000"/>
          <w:szCs w:val="24"/>
        </w:rPr>
      </w:r>
    </w:p>
    <w:p>
      <w:pPr>
        <w:pStyle w:val="Normal"/>
        <w:widowControl w:val="false"/>
        <w:tabs>
          <w:tab w:val="clear" w:pos="1296"/>
          <w:tab w:val="left" w:pos="567" w:leader="none"/>
          <w:tab w:val="left" w:pos="851" w:leader="none"/>
          <w:tab w:val="left" w:pos="992" w:leader="none"/>
          <w:tab w:val="left" w:pos="1134" w:leader="none"/>
        </w:tabs>
        <w:jc w:val="both"/>
        <w:rPr>
          <w:rFonts w:eastAsia="Arial"/>
          <w:kern w:val="2"/>
          <w:szCs w:val="24"/>
          <w:shd w:fill="FFFFFF" w:val="clear"/>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pPr>
        <w:pStyle w:val="Normal"/>
        <w:widowControl w:val="false"/>
        <w:tabs>
          <w:tab w:val="clear" w:pos="1296"/>
          <w:tab w:val="left" w:pos="567" w:leader="none"/>
          <w:tab w:val="left" w:pos="851" w:leader="none"/>
          <w:tab w:val="left" w:pos="992" w:leader="none"/>
          <w:tab w:val="left" w:pos="1134" w:leader="none"/>
        </w:tabs>
        <w:jc w:val="both"/>
        <w:rPr>
          <w:rFonts w:eastAsia="Arial"/>
          <w:kern w:val="2"/>
          <w:szCs w:val="24"/>
          <w:shd w:fill="FFFFFF" w:val="clear"/>
        </w:rPr>
      </w:pPr>
      <w:r>
        <w:rPr>
          <w:rFonts w:eastAsia="Arial"/>
          <w:kern w:val="2"/>
          <w:szCs w:val="24"/>
        </w:rPr>
        <w:t>3.2.2. Sutarties vykdymui pasitelkiami subtiekėjai ir (ar) specialistai (jeigu tokie pasitelkiami) nurodomi Specialiosiose sąlygose.</w:t>
      </w:r>
    </w:p>
    <w:p>
      <w:pPr>
        <w:pStyle w:val="Normal"/>
        <w:widowControl w:val="false"/>
        <w:tabs>
          <w:tab w:val="clear" w:pos="1296"/>
          <w:tab w:val="left" w:pos="567" w:leader="none"/>
          <w:tab w:val="left" w:pos="851" w:leader="none"/>
          <w:tab w:val="left" w:pos="992" w:leader="none"/>
          <w:tab w:val="left" w:pos="1134" w:leader="none"/>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pPr>
        <w:pStyle w:val="Normal"/>
        <w:widowControl w:val="false"/>
        <w:tabs>
          <w:tab w:val="clear" w:pos="1296"/>
          <w:tab w:val="left" w:pos="709" w:leader="none"/>
          <w:tab w:val="left" w:pos="851" w:leader="none"/>
          <w:tab w:val="left" w:pos="1134" w:leader="none"/>
        </w:tabs>
        <w:jc w:val="both"/>
        <w:rPr>
          <w:rFonts w:eastAsia="Cambria"/>
          <w:kern w:val="2"/>
          <w:szCs w:val="24"/>
          <w:shd w:fill="FFFFFF" w:val="clear"/>
        </w:rPr>
      </w:pPr>
      <w:r>
        <w:rPr>
          <w:rFonts w:eastAsia="Cambria"/>
          <w:kern w:val="2"/>
          <w:szCs w:val="24"/>
        </w:rPr>
        <w:t>3.2.4. Naujas subtiekėjas ar specialistas gali pradėti vykdyti jiems Tiekėjo pavestus įsipareigojimus pagal Sutartį ne anksčiau, nei bus pasirašytas Susitarimas.</w:t>
      </w:r>
    </w:p>
    <w:p>
      <w:pPr>
        <w:pStyle w:val="Normal"/>
        <w:widowControl w:val="false"/>
        <w:tabs>
          <w:tab w:val="clear" w:pos="1296"/>
          <w:tab w:val="left" w:pos="709" w:leader="none"/>
          <w:tab w:val="left" w:pos="851" w:leader="none"/>
          <w:tab w:val="left" w:pos="1134" w:leader="none"/>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pPr>
        <w:pStyle w:val="Normal"/>
        <w:widowControl w:val="false"/>
        <w:tabs>
          <w:tab w:val="clear" w:pos="1296"/>
          <w:tab w:val="left" w:pos="993" w:leader="none"/>
        </w:tabs>
        <w:jc w:val="both"/>
        <w:rPr>
          <w:rFonts w:eastAsia="Arial"/>
          <w:kern w:val="2"/>
          <w:szCs w:val="24"/>
          <w:shd w:fill="FFFFFF" w:val="clear"/>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pPr>
        <w:pStyle w:val="Normal"/>
        <w:widowControl w:val="false"/>
        <w:tabs>
          <w:tab w:val="clear" w:pos="1296"/>
          <w:tab w:val="left" w:pos="993" w:leader="none"/>
        </w:tabs>
        <w:jc w:val="both"/>
        <w:rPr>
          <w:rFonts w:eastAsia="Arial"/>
          <w:kern w:val="2"/>
          <w:szCs w:val="24"/>
          <w:shd w:fill="FFFFFF" w:val="clear"/>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pPr>
        <w:pStyle w:val="Normal"/>
        <w:widowControl w:val="false"/>
        <w:tabs>
          <w:tab w:val="clear" w:pos="1296"/>
          <w:tab w:val="left" w:pos="993" w:leader="none"/>
        </w:tabs>
        <w:jc w:val="both"/>
        <w:rPr>
          <w:rFonts w:eastAsia="Cambria"/>
          <w:kern w:val="2"/>
          <w:szCs w:val="24"/>
          <w:shd w:fill="FFFFFF" w:val="clear"/>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pPr>
        <w:pStyle w:val="Normal"/>
        <w:widowControl w:val="false"/>
        <w:tabs>
          <w:tab w:val="clear" w:pos="1296"/>
          <w:tab w:val="left" w:pos="993" w:leader="none"/>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pPr>
        <w:pStyle w:val="Normal"/>
        <w:widowControl w:val="false"/>
        <w:tabs>
          <w:tab w:val="clear" w:pos="1296"/>
          <w:tab w:val="left" w:pos="993" w:leader="none"/>
        </w:tabs>
        <w:jc w:val="both"/>
        <w:rPr>
          <w:rFonts w:eastAsia="Arial"/>
          <w:kern w:val="2"/>
          <w:szCs w:val="24"/>
          <w:shd w:fill="FFFFFF" w:val="clear"/>
        </w:rPr>
      </w:pPr>
      <w:r>
        <w:rPr>
          <w:rFonts w:eastAsia="Arial"/>
          <w:kern w:val="2"/>
          <w:szCs w:val="24"/>
        </w:rPr>
        <w:t>3.2.10. Subtiekėjai, kurių pajėgumais Tiekėjas rėmėsi, kad atitiktų pirkimo dokumentuose nustatytus kvalifikacijos reikalavimus, gali būti keičiami tik šiais atvejais:</w:t>
      </w:r>
    </w:p>
    <w:p>
      <w:pPr>
        <w:pStyle w:val="Normal"/>
        <w:widowControl w:val="false"/>
        <w:tabs>
          <w:tab w:val="clear" w:pos="1296"/>
          <w:tab w:val="left" w:pos="1134" w:leader="none"/>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pPr>
        <w:pStyle w:val="Normal"/>
        <w:widowControl w:val="false"/>
        <w:tabs>
          <w:tab w:val="clear" w:pos="1296"/>
          <w:tab w:val="left" w:pos="1134" w:leader="none"/>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pPr>
        <w:pStyle w:val="Normal"/>
        <w:widowControl w:val="false"/>
        <w:tabs>
          <w:tab w:val="clear" w:pos="1296"/>
          <w:tab w:val="left" w:pos="1134" w:leader="none"/>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pPr>
        <w:pStyle w:val="Normal"/>
        <w:widowControl w:val="false"/>
        <w:tabs>
          <w:tab w:val="clear" w:pos="1296"/>
          <w:tab w:val="left" w:pos="993" w:leader="none"/>
        </w:tabs>
        <w:ind w:hanging="720" w:left="720"/>
        <w:jc w:val="both"/>
        <w:rPr>
          <w:rFonts w:eastAsia="Cambria"/>
          <w:kern w:val="2"/>
          <w:szCs w:val="24"/>
        </w:rPr>
      </w:pPr>
      <w:r>
        <w:rPr>
          <w:rFonts w:eastAsia="Cambria"/>
          <w:kern w:val="2"/>
          <w:szCs w:val="24"/>
        </w:rPr>
        <w:t>3.2.11. </w:t>
      </w:r>
      <w:r>
        <w:rPr>
          <w:rFonts w:eastAsia="Calibri" w:ascii="Calibri" w:hAnsi="Calibri"/>
          <w:kern w:val="2"/>
          <w:sz w:val="22"/>
          <w:szCs w:val="22"/>
        </w:rPr>
        <w:tab/>
      </w:r>
      <w:r>
        <w:rPr>
          <w:rFonts w:eastAsia="Cambria"/>
          <w:kern w:val="2"/>
          <w:szCs w:val="24"/>
        </w:rPr>
        <w:t>Tiekėjo (ar subtiekėjų) specialistai, vykdantys Sutartį, gali būti keičiami šiais atvejais:</w:t>
      </w:r>
    </w:p>
    <w:p>
      <w:pPr>
        <w:pStyle w:val="Normal"/>
        <w:widowControl w:val="false"/>
        <w:tabs>
          <w:tab w:val="clear" w:pos="1296"/>
          <w:tab w:val="left" w:pos="1134" w:leader="none"/>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pPr>
        <w:pStyle w:val="Normal"/>
        <w:widowControl w:val="false"/>
        <w:tabs>
          <w:tab w:val="clear" w:pos="1296"/>
          <w:tab w:val="left" w:pos="1134" w:leader="none"/>
          <w:tab w:val="left" w:pos="1418" w:leader="none"/>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pPr>
        <w:pStyle w:val="Normal"/>
        <w:widowControl w:val="false"/>
        <w:tabs>
          <w:tab w:val="clear" w:pos="1296"/>
          <w:tab w:val="left" w:pos="1134" w:leader="none"/>
          <w:tab w:val="left" w:pos="1276" w:leader="none"/>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pPr>
        <w:pStyle w:val="Normal"/>
        <w:widowControl w:val="false"/>
        <w:tabs>
          <w:tab w:val="clear" w:pos="1296"/>
          <w:tab w:val="left" w:pos="567" w:leader="none"/>
          <w:tab w:val="left" w:pos="851" w:leader="none"/>
          <w:tab w:val="left" w:pos="992" w:leader="none"/>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pPr>
        <w:pStyle w:val="Normal"/>
        <w:widowControl w:val="false"/>
        <w:tabs>
          <w:tab w:val="clear" w:pos="1296"/>
          <w:tab w:val="left" w:pos="567" w:leader="none"/>
          <w:tab w:val="left" w:pos="851" w:leader="none"/>
          <w:tab w:val="left" w:pos="992" w:leader="none"/>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pPr>
        <w:pStyle w:val="Normal"/>
        <w:widowControl w:val="false"/>
        <w:tabs>
          <w:tab w:val="clear" w:pos="1296"/>
          <w:tab w:val="left" w:pos="1134" w:leader="none"/>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pPr>
        <w:pStyle w:val="Normal"/>
        <w:widowControl w:val="false"/>
        <w:tabs>
          <w:tab w:val="clear" w:pos="1296"/>
          <w:tab w:val="left" w:pos="1134" w:leader="none"/>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pPr>
        <w:pStyle w:val="Normal"/>
        <w:widowControl w:val="false"/>
        <w:tabs>
          <w:tab w:val="clear" w:pos="1296"/>
          <w:tab w:val="left" w:pos="567" w:leader="none"/>
          <w:tab w:val="left" w:pos="851" w:leader="none"/>
          <w:tab w:val="left" w:pos="992" w:leader="none"/>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pPr>
        <w:pStyle w:val="Normal"/>
        <w:spacing w:lineRule="atLeast" w:line="257"/>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3.3. Jungtinės veiklos partnerių keitimas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shd w:fill="FFFFFF" w:val="clear"/>
        </w:rPr>
        <w:t xml:space="preserve">3.3.1. Tiekėjas, vykdantis Sutartį </w:t>
      </w:r>
      <w:r>
        <w:rPr>
          <w:rFonts w:eastAsia="Cambria"/>
          <w:kern w:val="2"/>
          <w:szCs w:val="24"/>
        </w:rPr>
        <w:t xml:space="preserve">kaip tiekėjų grupė, veikianti </w:t>
      </w:r>
      <w:r>
        <w:rPr>
          <w:rFonts w:eastAsia="Cambria"/>
          <w:kern w:val="2"/>
          <w:szCs w:val="24"/>
          <w:shd w:fill="FFFFFF" w:val="clear"/>
        </w:rPr>
        <w:t>jungtinės veiklos</w:t>
      </w:r>
      <w:r>
        <w:rPr>
          <w:rFonts w:eastAsia="Cambria"/>
          <w:kern w:val="2"/>
          <w:szCs w:val="24"/>
        </w:rPr>
        <w:t xml:space="preserve"> sutarties</w:t>
      </w:r>
      <w:r>
        <w:rPr>
          <w:rFonts w:eastAsia="Cambria"/>
          <w:kern w:val="2"/>
          <w:szCs w:val="24"/>
          <w:shd w:fill="FFFFFF" w:val="clear"/>
        </w:rPr>
        <w:t xml:space="preserve"> pagrindu</w:t>
      </w:r>
      <w:r>
        <w:rPr>
          <w:color w:val="000000"/>
          <w:szCs w:val="24"/>
          <w:shd w:fill="FFFFFF" w:val="clear"/>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pPr>
        <w:pStyle w:val="Normal"/>
        <w:spacing w:lineRule="atLeast" w:line="257"/>
        <w:jc w:val="both"/>
        <w:rPr>
          <w:color w:val="000000"/>
          <w:szCs w:val="24"/>
        </w:rPr>
      </w:pPr>
      <w:r>
        <w:rPr>
          <w:color w:val="000000"/>
          <w:szCs w:val="24"/>
          <w:shd w:fill="FFFFFF" w:val="clear"/>
        </w:rPr>
        <w:t xml:space="preserve">3.3.2. Tiekėjas, vykdantis Sutartį </w:t>
      </w:r>
      <w:r>
        <w:rPr>
          <w:rFonts w:eastAsia="Cambria"/>
          <w:kern w:val="2"/>
          <w:szCs w:val="24"/>
          <w:shd w:fill="FFFFFF" w:val="clear"/>
        </w:rPr>
        <w:t>kaip tiekėjų grupė</w:t>
      </w:r>
      <w:r>
        <w:rPr>
          <w:color w:val="000000"/>
          <w:szCs w:val="24"/>
          <w:shd w:fill="FFFFFF" w:val="clear"/>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pPr>
        <w:pStyle w:val="Normal"/>
        <w:spacing w:lineRule="atLeast" w:line="257"/>
        <w:jc w:val="both"/>
        <w:rPr>
          <w:color w:val="000000"/>
          <w:szCs w:val="24"/>
        </w:rPr>
      </w:pPr>
      <w:r>
        <w:rPr>
          <w:color w:val="000000"/>
          <w:szCs w:val="24"/>
          <w:shd w:fill="FFFFFF" w:val="clear"/>
        </w:rPr>
        <w:t>3.3.3. Tiekėjas privalo ne vėliau nei prieš 10 (dešimt) darbo dienų iki numatomo Partnerio keitimo arba atsisakymo pateikti Pirkėjui šiuos dokumentus:</w:t>
      </w:r>
    </w:p>
    <w:p>
      <w:pPr>
        <w:pStyle w:val="Normal"/>
        <w:spacing w:lineRule="atLeast" w:line="257"/>
        <w:jc w:val="both"/>
        <w:rPr>
          <w:color w:val="000000"/>
          <w:szCs w:val="24"/>
        </w:rPr>
      </w:pPr>
      <w:r>
        <w:rPr>
          <w:color w:val="000000"/>
          <w:szCs w:val="24"/>
          <w:shd w:fill="FFFFFF" w:val="clear"/>
        </w:rPr>
        <w:t>3.3.3.1. </w:t>
      </w:r>
      <w:r>
        <w:rPr>
          <w:rFonts w:eastAsia="Cambria"/>
          <w:kern w:val="2"/>
          <w:szCs w:val="24"/>
          <w:shd w:fill="FFFFFF" w:val="clear"/>
        </w:rPr>
        <w:t>argumentuotą</w:t>
      </w:r>
      <w:r>
        <w:rPr>
          <w:color w:val="000000"/>
          <w:szCs w:val="24"/>
          <w:shd w:fill="FFFFFF" w:val="clear"/>
        </w:rPr>
        <w:t xml:space="preserve"> prašymą pakeisti Tiekėjo sudėtį ir įrodymus, pagrindžiančius bent vieną Partnerio atsisakymo ar keitimo aplinkybę, nurodytą Sutartyje;</w:t>
      </w:r>
    </w:p>
    <w:p>
      <w:pPr>
        <w:pStyle w:val="Normal"/>
        <w:spacing w:lineRule="atLeast" w:line="257"/>
        <w:jc w:val="both"/>
        <w:rPr>
          <w:color w:val="000000"/>
          <w:szCs w:val="24"/>
        </w:rPr>
      </w:pPr>
      <w:r>
        <w:rPr>
          <w:color w:val="000000"/>
          <w:szCs w:val="24"/>
          <w:shd w:fill="FFFFFF" w:val="clear"/>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fill="FFFFFF" w:val="clear"/>
        </w:rPr>
        <w:t>pasiliekantysis Partneris ir (ar) naujai pasitelktas Partneris</w:t>
      </w:r>
      <w:r>
        <w:rPr>
          <w:color w:val="000000"/>
          <w:szCs w:val="24"/>
          <w:shd w:fill="FFFFFF" w:val="clear"/>
        </w:rPr>
        <w:t>;</w:t>
      </w:r>
    </w:p>
    <w:p>
      <w:pPr>
        <w:pStyle w:val="Normal"/>
        <w:jc w:val="both"/>
        <w:rPr>
          <w:color w:val="000000"/>
          <w:szCs w:val="24"/>
        </w:rPr>
      </w:pPr>
      <w:r>
        <w:rPr>
          <w:color w:val="000000"/>
          <w:szCs w:val="24"/>
          <w:shd w:fill="FFFFFF" w:val="clear"/>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fill="FFFFFF" w:val="clear"/>
        </w:rPr>
        <w:t>nebūti registruotu (nuolat gyvenančiu ar turinčiu pilietybę) nepatikimomis laikomose valstybėse ar teritorijose</w:t>
      </w:r>
      <w:r>
        <w:rPr>
          <w:rFonts w:eastAsia="Cambria"/>
          <w:kern w:val="2"/>
          <w:szCs w:val="24"/>
          <w:shd w:fill="FFFFFF" w:val="clear"/>
        </w:rPr>
        <w:t xml:space="preserve"> (jei taikoma)</w:t>
      </w:r>
      <w:r>
        <w:rPr>
          <w:color w:val="000000"/>
          <w:szCs w:val="24"/>
          <w:shd w:fill="FFFFFF" w:val="clear"/>
        </w:rPr>
        <w:t>.</w:t>
      </w:r>
    </w:p>
    <w:p>
      <w:pPr>
        <w:pStyle w:val="Normal"/>
        <w:widowControl w:val="false"/>
        <w:tabs>
          <w:tab w:val="clear" w:pos="1296"/>
          <w:tab w:val="left" w:pos="567" w:leader="none"/>
          <w:tab w:val="left" w:pos="851" w:leader="none"/>
          <w:tab w:val="left" w:pos="992" w:leader="none"/>
          <w:tab w:val="left" w:pos="1134" w:leader="none"/>
        </w:tabs>
        <w:jc w:val="both"/>
        <w:rPr>
          <w:rFonts w:eastAsia="Cambria"/>
          <w:kern w:val="2"/>
          <w:szCs w:val="24"/>
          <w:shd w:fill="FFFFFF" w:val="clear"/>
        </w:rPr>
      </w:pPr>
      <w:r>
        <w:rPr>
          <w:color w:val="000000"/>
          <w:szCs w:val="24"/>
          <w:shd w:fill="FFFFFF" w:val="clear"/>
        </w:rPr>
        <w:t xml:space="preserve">3.3.4. Pirkėjas, gavęs Tiekėjo prašymą su kitais Sutartyje nurodytais dokumentais, per 10 (dešimt) darbo dienų įvertina keitimo galimybes ir raštu informuoja Tiekėją </w:t>
      </w:r>
      <w:r>
        <w:rPr>
          <w:rFonts w:eastAsia="Cambria"/>
          <w:kern w:val="2"/>
          <w:szCs w:val="24"/>
          <w:shd w:fill="FFFFFF" w:val="clear"/>
        </w:rPr>
        <w:t>apie sutikimą arba apie ne</w:t>
      </w:r>
      <w:r>
        <w:rPr>
          <w:rFonts w:eastAsia="Cambria"/>
          <w:kern w:val="2"/>
          <w:szCs w:val="24"/>
        </w:rPr>
        <w:t xml:space="preserve">sutikimą </w:t>
      </w:r>
      <w:r>
        <w:rPr>
          <w:rFonts w:eastAsia="Cambria"/>
          <w:kern w:val="2"/>
          <w:szCs w:val="24"/>
          <w:shd w:fill="FFFFFF" w:val="clear"/>
        </w:rPr>
        <w:t>atsisakyti ar pakeisti Partnerį</w:t>
      </w:r>
      <w:r>
        <w:rPr>
          <w:color w:val="000000"/>
          <w:szCs w:val="24"/>
          <w:shd w:fill="FFFFFF" w:val="clear"/>
        </w:rPr>
        <w:t xml:space="preserve">. Pirkėjui sutikus, Šalys pasirašo Susitarimą, kuris laikomas neatsiejama Sutarties dalimi. </w:t>
      </w:r>
      <w:r>
        <w:rPr>
          <w:rFonts w:eastAsia="Cambria"/>
          <w:kern w:val="2"/>
          <w:szCs w:val="24"/>
          <w:shd w:fill="FFFFFF" w:val="clear"/>
        </w:rPr>
        <w:t>Prieš Susitarimo pasirašymą, Pirkėjui pateikiama naujos jungtinės veiklos sutarties ar esamos jungtinės veiklos sutarties pakeitimo kopija arba nuorašas.</w:t>
      </w:r>
    </w:p>
    <w:p>
      <w:pPr>
        <w:pStyle w:val="Normal"/>
        <w:rPr>
          <w:sz w:val="14"/>
          <w:szCs w:val="14"/>
        </w:rPr>
      </w:pPr>
      <w:r>
        <w:rPr>
          <w:sz w:val="14"/>
          <w:szCs w:val="14"/>
        </w:rPr>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3.4.  Susitarimai dėl tiesioginio atsiskaitymo su subtiekėjais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3.4.1. </w:t>
      </w:r>
      <w:r>
        <w:rPr>
          <w:color w:val="000000"/>
          <w:szCs w:val="24"/>
          <w:shd w:fill="FFFFFF" w:val="clear"/>
        </w:rPr>
        <w:t>Subtiekėjams pageidaujant, Pirkėjas su jais atsiskaitys tiesiogiai. Pirkėjas numato tiesioginio atsiskaitymo galimybę su Sutartyje nurodytais subtiekėjais tokiomis sąlygomis ir tvarka: </w:t>
      </w:r>
    </w:p>
    <w:p>
      <w:pPr>
        <w:pStyle w:val="Normal"/>
        <w:spacing w:lineRule="atLeast" w:line="257"/>
        <w:jc w:val="both"/>
        <w:rPr>
          <w:color w:val="000000"/>
          <w:szCs w:val="24"/>
        </w:rPr>
      </w:pPr>
      <w:r>
        <w:rPr>
          <w:color w:val="000000"/>
          <w:szCs w:val="24"/>
        </w:rPr>
        <w:t>3.4.1.1. </w:t>
      </w:r>
      <w:r>
        <w:rPr>
          <w:color w:val="000000"/>
          <w:szCs w:val="24"/>
          <w:shd w:fill="FFFFFF" w:val="clear"/>
        </w:rPr>
        <w:t xml:space="preserve">sudarius Sutartį, Tiekėjas ne vėliau negu Sutartis pradedama vykdyti, įsipareigoja Pirkėjui raštu pateikti tuo metu žinomų subtiekėjų pavadinimus, atstovus ir jų </w:t>
      </w:r>
      <w:r>
        <w:rPr>
          <w:rFonts w:eastAsia="Cambria"/>
          <w:kern w:val="2"/>
          <w:szCs w:val="24"/>
          <w:shd w:fill="FFFFFF" w:val="clear"/>
        </w:rPr>
        <w:t>kontaktinius duomenis</w:t>
      </w:r>
      <w:r>
        <w:rPr>
          <w:color w:val="000000"/>
          <w:szCs w:val="24"/>
          <w:shd w:fill="FFFFFF" w:val="clear"/>
        </w:rPr>
        <w:t>. Pirkėjas taip pat reikalauja, kad Tiekėjas informuotų apie minėtos informacijos pasikeitimus bei</w:t>
      </w:r>
      <w:r>
        <w:rPr>
          <w:b/>
          <w:bCs/>
          <w:color w:val="5C5D5D"/>
          <w:szCs w:val="24"/>
        </w:rPr>
        <w:t> </w:t>
      </w:r>
      <w:r>
        <w:rPr>
          <w:color w:val="000000"/>
          <w:szCs w:val="24"/>
          <w:shd w:fill="FFFFFF" w:val="clear"/>
        </w:rPr>
        <w:t>naujų subtiekėjų pasitelkimą visu Sutarties vykdymo metu;</w:t>
      </w:r>
    </w:p>
    <w:p>
      <w:pPr>
        <w:pStyle w:val="Normal"/>
        <w:spacing w:lineRule="atLeast" w:line="257"/>
        <w:jc w:val="both"/>
        <w:rPr>
          <w:color w:val="000000"/>
          <w:szCs w:val="24"/>
        </w:rPr>
      </w:pPr>
      <w:r>
        <w:rPr>
          <w:color w:val="000000"/>
          <w:szCs w:val="24"/>
        </w:rPr>
        <w:t>3.4.1.2. </w:t>
      </w:r>
      <w:r>
        <w:rPr>
          <w:color w:val="000000"/>
          <w:szCs w:val="24"/>
          <w:shd w:fill="FFFFFF" w:val="clear"/>
        </w:rPr>
        <w:t>Pirkėjas ne vėliau kaip per 3 (tris) darbo dienas nuo Bendrųjų sąlygų 3.4.1.1 papunktyje nurodytos informacijos gavimo dienos raštu informuoja subtiekėjus apie tiesioginio atsiskaitymo galimybę;</w:t>
      </w:r>
    </w:p>
    <w:p>
      <w:pPr>
        <w:pStyle w:val="Normal"/>
        <w:spacing w:lineRule="atLeast" w:line="257"/>
        <w:jc w:val="both"/>
        <w:rPr>
          <w:color w:val="000000"/>
          <w:szCs w:val="24"/>
        </w:rPr>
      </w:pPr>
      <w:r>
        <w:rPr>
          <w:color w:val="000000"/>
          <w:szCs w:val="24"/>
        </w:rPr>
        <w:t>3.4.1.3. </w:t>
      </w:r>
      <w:r>
        <w:rPr>
          <w:color w:val="000000"/>
          <w:szCs w:val="24"/>
          <w:shd w:fill="FFFFFF" w:val="clear"/>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pPr>
        <w:pStyle w:val="Normal"/>
        <w:spacing w:lineRule="atLeast" w:line="257"/>
        <w:jc w:val="both"/>
        <w:rPr>
          <w:color w:val="000000"/>
          <w:szCs w:val="24"/>
        </w:rPr>
      </w:pPr>
      <w:r>
        <w:rPr>
          <w:color w:val="000000"/>
          <w:szCs w:val="24"/>
        </w:rPr>
        <w:t>3.4.1.4. </w:t>
      </w:r>
      <w:r>
        <w:rPr>
          <w:color w:val="000000"/>
          <w:szCs w:val="24"/>
          <w:shd w:fill="FFFFFF" w:val="clear"/>
        </w:rPr>
        <w:t>tiesioginio atsiskaitymo su subtiekėjais galimybė nekeičia Tiekėjo atsakomybės dėl Sutarties įvykdymo.</w:t>
      </w:r>
    </w:p>
    <w:p>
      <w:pPr>
        <w:pStyle w:val="Normal"/>
        <w:spacing w:lineRule="atLeast" w:line="257"/>
        <w:ind w:firstLine="62"/>
        <w:jc w:val="both"/>
        <w:rPr>
          <w:color w:val="000000"/>
          <w:szCs w:val="24"/>
        </w:rPr>
      </w:pPr>
      <w:r>
        <w:rPr>
          <w:color w:val="000000"/>
          <w:szCs w:val="24"/>
        </w:rPr>
      </w:r>
    </w:p>
    <w:p>
      <w:pPr>
        <w:pStyle w:val="Normal"/>
        <w:spacing w:lineRule="atLeast" w:line="257"/>
        <w:ind w:hanging="360" w:left="360"/>
        <w:jc w:val="center"/>
        <w:rPr>
          <w:color w:val="000000"/>
          <w:szCs w:val="24"/>
        </w:rPr>
      </w:pPr>
      <w:r>
        <w:rPr>
          <w:b/>
          <w:bCs/>
          <w:caps/>
          <w:color w:val="000000"/>
          <w:szCs w:val="24"/>
        </w:rPr>
        <w:t>4.  ŠALIŲ BENDRADARBIAVIMAS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4.1.  Šalių bendradarbiavimo pareiga</w:t>
      </w:r>
    </w:p>
    <w:p>
      <w:pPr>
        <w:pStyle w:val="Normal"/>
        <w:spacing w:lineRule="atLeast" w:line="257"/>
        <w:ind w:firstLine="62"/>
        <w:rPr>
          <w:color w:val="000000"/>
          <w:szCs w:val="24"/>
        </w:rPr>
      </w:pPr>
      <w:r>
        <w:rPr>
          <w:color w:val="000000"/>
          <w:szCs w:val="24"/>
        </w:rPr>
      </w:r>
    </w:p>
    <w:p>
      <w:pPr>
        <w:pStyle w:val="Normal"/>
        <w:spacing w:lineRule="atLeast" w:line="257"/>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pPr>
        <w:pStyle w:val="Normal"/>
        <w:spacing w:lineRule="atLeast" w:line="257"/>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pPr>
        <w:pStyle w:val="Normal"/>
        <w:spacing w:lineRule="atLeast" w:line="257"/>
        <w:jc w:val="both"/>
        <w:rPr>
          <w:color w:val="000000"/>
          <w:szCs w:val="24"/>
        </w:rPr>
      </w:pPr>
      <w:r>
        <w:rPr>
          <w:color w:val="000000"/>
          <w:szCs w:val="24"/>
        </w:rPr>
        <w:t>4.1.3. </w:t>
      </w:r>
      <w:r>
        <w:rPr>
          <w:color w:val="000000"/>
          <w:szCs w:val="24"/>
          <w:shd w:fill="FFFFFF" w:val="clear"/>
        </w:rPr>
        <w:t>Jeigu Šalis susiduria su </w:t>
      </w:r>
      <w:r>
        <w:rPr>
          <w:color w:val="000000"/>
          <w:szCs w:val="24"/>
        </w:rPr>
        <w:t>S</w:t>
      </w:r>
      <w:r>
        <w:rPr>
          <w:color w:val="000000"/>
          <w:szCs w:val="24"/>
          <w:shd w:fill="FFFFFF" w:val="clear"/>
        </w:rPr>
        <w:t>utarties vykdymo kliūtimi, ji turi nedelsdama, bet ne vėliau kaip per 5 (penkias) darbo dienas, įspėti kitą Šalį apie tokia</w:t>
      </w:r>
      <w:r>
        <w:rPr>
          <w:color w:val="000000"/>
          <w:szCs w:val="24"/>
        </w:rPr>
        <w:t>s</w:t>
      </w:r>
      <w:r>
        <w:rPr>
          <w:color w:val="000000"/>
          <w:szCs w:val="24"/>
          <w:shd w:fill="FFFFFF" w:val="clear"/>
        </w:rPr>
        <w:t> kliūtis</w:t>
      </w:r>
      <w:r>
        <w:rPr>
          <w:color w:val="000000"/>
          <w:szCs w:val="24"/>
        </w:rPr>
        <w:t> ir imtis visų nuo jos priklausančių protingų priemonių toms kliūtims pašalinti.</w:t>
      </w:r>
    </w:p>
    <w:p>
      <w:pPr>
        <w:pStyle w:val="Normal"/>
        <w:spacing w:lineRule="atLeast" w:line="257"/>
        <w:ind w:firstLine="115"/>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4.2.  Kontaktiniai asmenys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pPr>
        <w:pStyle w:val="Normal"/>
        <w:spacing w:lineRule="atLeast" w:line="257"/>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pPr>
        <w:pStyle w:val="Normal"/>
        <w:spacing w:lineRule="atLeast" w:line="257"/>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5.  SUTARTIES VYKDYMO METU PATEIKIAMI DOKUMENTAI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pPr>
        <w:pStyle w:val="Normal"/>
        <w:spacing w:lineRule="atLeast" w:line="257"/>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pPr>
        <w:pStyle w:val="Normal"/>
        <w:spacing w:lineRule="atLeast" w:line="257"/>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6.  PREKIŲ TIEKIMO PABAIGA IR PREKIŲ PRIĖMIMAS</w:t>
      </w:r>
    </w:p>
    <w:p>
      <w:pPr>
        <w:pStyle w:val="Normal"/>
        <w:spacing w:lineRule="atLeast" w:line="257"/>
        <w:ind w:firstLine="62"/>
        <w:rPr>
          <w:color w:val="000000"/>
          <w:szCs w:val="24"/>
        </w:rPr>
      </w:pPr>
      <w:r>
        <w:rPr>
          <w:color w:val="000000"/>
          <w:szCs w:val="24"/>
        </w:rPr>
      </w:r>
    </w:p>
    <w:p>
      <w:pPr>
        <w:pStyle w:val="Normal"/>
        <w:spacing w:lineRule="atLeast" w:line="257"/>
        <w:jc w:val="center"/>
        <w:rPr>
          <w:color w:val="000000"/>
          <w:szCs w:val="24"/>
        </w:rPr>
      </w:pPr>
      <w:r>
        <w:rPr>
          <w:b/>
          <w:bCs/>
          <w:color w:val="000000"/>
          <w:szCs w:val="24"/>
        </w:rPr>
        <w:t>6.1.  Prekių tiekimo pabaiga</w:t>
      </w:r>
    </w:p>
    <w:p>
      <w:pPr>
        <w:pStyle w:val="Normal"/>
        <w:spacing w:lineRule="atLeast" w:line="257"/>
        <w:ind w:firstLine="62"/>
        <w:rPr>
          <w:color w:val="000000"/>
          <w:szCs w:val="24"/>
        </w:rPr>
      </w:pPr>
      <w:r>
        <w:rPr>
          <w:color w:val="000000"/>
          <w:szCs w:val="24"/>
        </w:rPr>
      </w:r>
    </w:p>
    <w:p>
      <w:pPr>
        <w:pStyle w:val="Normal"/>
        <w:spacing w:lineRule="atLeast" w:line="257"/>
        <w:jc w:val="both"/>
        <w:rPr>
          <w:color w:val="000000"/>
          <w:szCs w:val="24"/>
        </w:rPr>
      </w:pPr>
      <w:r>
        <w:rPr>
          <w:color w:val="000000"/>
          <w:szCs w:val="24"/>
        </w:rPr>
        <w:t>6.1.1. Prekių tiekimas laikomas užbaigtu, kai yra įvykdytos visos šios sąlygos:</w:t>
      </w:r>
    </w:p>
    <w:p>
      <w:pPr>
        <w:pStyle w:val="Normal"/>
        <w:spacing w:lineRule="atLeast" w:line="257"/>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pPr>
        <w:pStyle w:val="Normal"/>
        <w:spacing w:lineRule="atLeast" w:line="257"/>
        <w:jc w:val="both"/>
        <w:rPr>
          <w:color w:val="000000"/>
          <w:szCs w:val="24"/>
        </w:rPr>
      </w:pPr>
      <w:r>
        <w:rPr>
          <w:color w:val="000000"/>
          <w:szCs w:val="24"/>
        </w:rPr>
        <w:t>6.1.1.2. Tiekėjas perdavė Pirkėjui visą reikalingą dokumentaciją, įskaitant naudojimo instrukcijas, sertifikatus ir garantijas (jei to reikalaujama);</w:t>
      </w:r>
    </w:p>
    <w:p>
      <w:pPr>
        <w:pStyle w:val="Normal"/>
        <w:spacing w:lineRule="atLeast" w:line="257"/>
        <w:jc w:val="both"/>
        <w:rPr>
          <w:color w:val="000000"/>
          <w:szCs w:val="24"/>
        </w:rPr>
      </w:pPr>
      <w:r>
        <w:rPr>
          <w:color w:val="000000"/>
          <w:szCs w:val="24"/>
        </w:rPr>
        <w:t>6.1.1.3. Tiekėjas apmokė Pirkėjo personalą, kaip naudoti Prekes (jeigu to reikalaujama);</w:t>
      </w:r>
    </w:p>
    <w:p>
      <w:pPr>
        <w:pStyle w:val="Normal"/>
        <w:spacing w:lineRule="atLeast" w:line="257"/>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pPr>
        <w:pStyle w:val="Normal"/>
        <w:spacing w:lineRule="atLeast" w:line="257"/>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6.2.  Prekių perdavimas–priėmimas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pPr>
        <w:pStyle w:val="Normal"/>
        <w:spacing w:lineRule="atLeast" w:line="257"/>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pPr>
        <w:pStyle w:val="Normal"/>
        <w:spacing w:lineRule="atLeast" w:line="257"/>
        <w:jc w:val="both"/>
        <w:rPr>
          <w:color w:val="000000"/>
          <w:szCs w:val="24"/>
        </w:rPr>
      </w:pPr>
      <w:r>
        <w:rPr>
          <w:color w:val="000000"/>
          <w:szCs w:val="24"/>
        </w:rPr>
        <w:t>6.2.3. Tiekėjui pristačius Prekes, Pirkėjas atlieka jų patikrinimą ir privalo:</w:t>
      </w:r>
    </w:p>
    <w:p>
      <w:pPr>
        <w:pStyle w:val="Normal"/>
        <w:spacing w:lineRule="atLeast" w:line="257"/>
        <w:jc w:val="both"/>
        <w:rPr>
          <w:color w:val="000000"/>
          <w:szCs w:val="24"/>
        </w:rPr>
      </w:pPr>
      <w:r>
        <w:rPr>
          <w:color w:val="000000"/>
          <w:szCs w:val="24"/>
        </w:rPr>
        <w:t>6.2.3.1. ne vėliau kaip per 5 (penkias) darbo dienas nuo faktinio Prekių perdavimo priimti Prekes, pasirašydamas Prekių perdavimo–priėmimo aktą; arba</w:t>
      </w:r>
    </w:p>
    <w:p>
      <w:pPr>
        <w:pStyle w:val="Normal"/>
        <w:spacing w:lineRule="atLeast" w:line="257"/>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pPr>
        <w:pStyle w:val="Normal"/>
        <w:spacing w:lineRule="atLeast" w:line="257"/>
        <w:jc w:val="both"/>
        <w:rPr>
          <w:color w:val="000000"/>
          <w:szCs w:val="24"/>
        </w:rPr>
      </w:pPr>
      <w:r>
        <w:rPr>
          <w:color w:val="000000"/>
          <w:szCs w:val="24"/>
        </w:rPr>
        <w:t>6.2.3.3. atsisakyti priimti Prekes ar jų dalį ir įteikti (arba išsiųsti) Defektų aktą Tiekėjui dėl netinkamų Prekių ar jų dalies. </w:t>
      </w:r>
    </w:p>
    <w:p>
      <w:pPr>
        <w:pStyle w:val="Normal"/>
        <w:spacing w:lineRule="atLeast" w:line="257"/>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pPr>
        <w:pStyle w:val="Normal"/>
        <w:spacing w:lineRule="atLeast" w:line="257"/>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pPr>
        <w:pStyle w:val="Normal"/>
        <w:spacing w:lineRule="atLeast" w:line="257"/>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pPr>
        <w:pStyle w:val="Normal"/>
        <w:spacing w:lineRule="atLeast" w:line="257"/>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pPr>
        <w:pStyle w:val="Normal"/>
        <w:spacing w:lineRule="atLeast" w:line="257"/>
        <w:jc w:val="both"/>
        <w:rPr>
          <w:color w:val="000000"/>
          <w:szCs w:val="24"/>
        </w:rPr>
      </w:pPr>
      <w:r>
        <w:rPr>
          <w:color w:val="000000"/>
          <w:szCs w:val="24"/>
        </w:rPr>
        <w:t>6.2.8. Prekių praradimo ar sugadinimo ar atsitiktinio žuvimo rizika Pirkėjui iš Tiekėjo pereina nuo faktinio tokių Prekių priėmimo momento.</w:t>
      </w:r>
    </w:p>
    <w:p>
      <w:pPr>
        <w:pStyle w:val="Normal"/>
        <w:spacing w:lineRule="atLeast" w:line="257"/>
        <w:jc w:val="both"/>
        <w:rPr>
          <w:color w:val="000000"/>
          <w:szCs w:val="24"/>
        </w:rPr>
      </w:pPr>
      <w:r>
        <w:rPr>
          <w:color w:val="000000"/>
          <w:szCs w:val="24"/>
        </w:rPr>
        <w:t>6.2.9. Pirkėjas turi teisę naudotis Prekėmis tik po Prekių perdavimo-priėmimo akto pasirašymo.</w:t>
      </w:r>
    </w:p>
    <w:p>
      <w:pPr>
        <w:pStyle w:val="Normal"/>
        <w:spacing w:lineRule="atLeast" w:line="257"/>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7.  TIEKĖJO GARANTINIAI ĮSIPAREIGOJIMAI</w:t>
      </w:r>
    </w:p>
    <w:p>
      <w:pPr>
        <w:pStyle w:val="Normal"/>
        <w:spacing w:lineRule="atLeast" w:line="257"/>
        <w:ind w:firstLine="62"/>
        <w:rPr>
          <w:color w:val="000000"/>
          <w:szCs w:val="24"/>
        </w:rPr>
      </w:pPr>
      <w:r>
        <w:rPr>
          <w:color w:val="000000"/>
          <w:szCs w:val="24"/>
        </w:rPr>
      </w:r>
    </w:p>
    <w:p>
      <w:pPr>
        <w:pStyle w:val="Normal"/>
        <w:spacing w:lineRule="atLeast" w:line="257"/>
        <w:ind w:hanging="360" w:left="360"/>
        <w:jc w:val="center"/>
        <w:rPr>
          <w:color w:val="000000"/>
          <w:szCs w:val="24"/>
        </w:rPr>
      </w:pPr>
      <w:r>
        <w:rPr>
          <w:b/>
          <w:bCs/>
          <w:color w:val="000000"/>
          <w:szCs w:val="24"/>
        </w:rPr>
        <w:t>7.1.  Garantiniai terminai (jei taikoma)</w:t>
      </w:r>
    </w:p>
    <w:p>
      <w:pPr>
        <w:pStyle w:val="Normal"/>
        <w:spacing w:lineRule="atLeast" w:line="257"/>
        <w:ind w:firstLine="62" w:left="360"/>
        <w:rPr>
          <w:color w:val="000000"/>
          <w:szCs w:val="24"/>
        </w:rPr>
      </w:pPr>
      <w:r>
        <w:rPr>
          <w:color w:val="000000"/>
          <w:szCs w:val="24"/>
        </w:rPr>
      </w:r>
    </w:p>
    <w:p>
      <w:pPr>
        <w:pStyle w:val="Normal"/>
        <w:spacing w:lineRule="atLeast" w:line="257"/>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pPr>
        <w:pStyle w:val="Normal"/>
        <w:spacing w:lineRule="atLeast" w:line="257"/>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pPr>
        <w:pStyle w:val="Normal"/>
        <w:spacing w:lineRule="atLeast" w:line="257"/>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7.2.  Pretenzijos dėl Prekių trūkumų</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pPr>
        <w:pStyle w:val="Normal"/>
        <w:spacing w:lineRule="atLeast" w:line="257"/>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pPr>
        <w:pStyle w:val="Normal"/>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pPr>
        <w:pStyle w:val="Normal"/>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pPr>
        <w:pStyle w:val="Normal"/>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pPr>
        <w:pStyle w:val="Normal"/>
        <w:tabs>
          <w:tab w:val="clear" w:pos="1296"/>
          <w:tab w:val="left" w:pos="567" w:leader="none"/>
          <w:tab w:val="left" w:pos="851" w:leader="none"/>
          <w:tab w:val="left" w:pos="992" w:leader="none"/>
          <w:tab w:val="left" w:pos="1134" w:leader="none"/>
        </w:tabs>
        <w:jc w:val="both"/>
        <w:rPr>
          <w:rFonts w:eastAsia="Calibri"/>
          <w:kern w:val="2"/>
          <w:szCs w:val="24"/>
        </w:rPr>
      </w:pPr>
      <w:r>
        <w:rPr>
          <w:rFonts w:eastAsia="Calibri"/>
          <w:kern w:val="2"/>
          <w:szCs w:val="24"/>
        </w:rPr>
        <w:t>7.2.4. Ekspertizės išvados Šalims yra privalomos.</w:t>
      </w:r>
    </w:p>
    <w:p>
      <w:pPr>
        <w:pStyle w:val="Normal"/>
        <w:tabs>
          <w:tab w:val="clear" w:pos="1296"/>
          <w:tab w:val="left" w:pos="567" w:leader="none"/>
          <w:tab w:val="left" w:pos="851" w:leader="none"/>
          <w:tab w:val="left" w:pos="992" w:leader="none"/>
          <w:tab w:val="left" w:pos="1134" w:leader="none"/>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pPr>
        <w:pStyle w:val="Normal"/>
        <w:rPr>
          <w:sz w:val="14"/>
          <w:szCs w:val="14"/>
        </w:rPr>
      </w:pPr>
      <w:r>
        <w:rPr>
          <w:sz w:val="14"/>
          <w:szCs w:val="14"/>
        </w:rPr>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7.3.  Prekių trūkumų šalinimas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7.3.1. Tiekėjas privalo nemokamai pašalinti Prekių trūkumus, sutaisydamas Prekes ar jų dalį arba pakeisdamas Prekę nauja Preke ar jos dalimi.</w:t>
      </w:r>
    </w:p>
    <w:p>
      <w:pPr>
        <w:pStyle w:val="Normal"/>
        <w:spacing w:lineRule="atLeast" w:line="257"/>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pPr>
        <w:pStyle w:val="Normal"/>
        <w:spacing w:lineRule="atLeast" w:line="257"/>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pPr>
        <w:pStyle w:val="Normal"/>
        <w:spacing w:lineRule="atLeast" w:line="257"/>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pPr>
        <w:pStyle w:val="Normal"/>
        <w:spacing w:lineRule="atLeast" w:line="257"/>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pPr>
        <w:pStyle w:val="Normal"/>
        <w:spacing w:lineRule="atLeast" w:line="257"/>
        <w:jc w:val="both"/>
        <w:rPr>
          <w:color w:val="000000"/>
          <w:szCs w:val="24"/>
        </w:rPr>
      </w:pPr>
      <w:r>
        <w:rPr>
          <w:color w:val="000000"/>
          <w:szCs w:val="24"/>
        </w:rPr>
        <w:t>7.3.6. Tiekėjas, pašalinęs visus Prekių trūkumus, privalo apie tai informuoti Pirkėją.</w:t>
      </w:r>
    </w:p>
    <w:p>
      <w:pPr>
        <w:pStyle w:val="Normal"/>
        <w:spacing w:lineRule="atLeast" w:line="257"/>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7.4.  Pirkėjo teisės, Tiekėjui nepašalinus Prekių trūkumų</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7.4.1. Jeigu Tiekėjas atsisako pašalinti arba nepašalina Prekių trūkumų per Pirkėjo nustatytus protingus terminus, Pirkėjas turi teisę:</w:t>
      </w:r>
    </w:p>
    <w:p>
      <w:pPr>
        <w:pStyle w:val="Normal"/>
        <w:spacing w:lineRule="atLeast" w:line="257"/>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pPr>
        <w:pStyle w:val="Normal"/>
        <w:spacing w:lineRule="atLeast" w:line="257"/>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pPr>
        <w:pStyle w:val="Normal"/>
        <w:spacing w:lineRule="atLeast" w:line="257"/>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pPr>
        <w:pStyle w:val="Normal"/>
        <w:spacing w:lineRule="atLeast" w:line="257"/>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pPr>
        <w:pStyle w:val="Normal"/>
        <w:spacing w:lineRule="atLeast" w:line="257"/>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pPr>
        <w:pStyle w:val="Normal"/>
        <w:spacing w:lineRule="atLeast" w:line="257"/>
        <w:jc w:val="both"/>
        <w:rPr>
          <w:color w:val="000000"/>
          <w:szCs w:val="24"/>
        </w:rPr>
      </w:pPr>
      <w:r>
        <w:rPr>
          <w:color w:val="000000"/>
          <w:szCs w:val="24"/>
        </w:rPr>
        <w:t>7.4.4. Už vėlavimą pašalinti Prekių trūkumus Pirkėjas privalo reikalauti Tiekėjo sumokėti Specialiosiose sąlygose nustatyto dydžio netesybas.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8.  PRISTATYMO TERMINAI</w:t>
      </w:r>
    </w:p>
    <w:p>
      <w:pPr>
        <w:pStyle w:val="Normal"/>
        <w:spacing w:lineRule="atLeast" w:line="257"/>
        <w:ind w:firstLine="62"/>
        <w:rPr>
          <w:color w:val="000000"/>
          <w:szCs w:val="24"/>
        </w:rPr>
      </w:pPr>
      <w:r>
        <w:rPr>
          <w:color w:val="000000"/>
          <w:szCs w:val="24"/>
        </w:rPr>
      </w:r>
    </w:p>
    <w:p>
      <w:pPr>
        <w:pStyle w:val="Normal"/>
        <w:spacing w:lineRule="atLeast" w:line="257"/>
        <w:jc w:val="center"/>
        <w:rPr>
          <w:color w:val="000000"/>
          <w:szCs w:val="24"/>
        </w:rPr>
      </w:pPr>
      <w:r>
        <w:rPr>
          <w:b/>
          <w:bCs/>
          <w:color w:val="000000"/>
          <w:szCs w:val="24"/>
        </w:rPr>
        <w:t>8.1.  Pristatymo terminai ir Prekių tiekimo grafikas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8.1.1. Tiekėjas privalo pristatyti Prekes laikydamasis terminų, nurodytų Specialiosiose sąlygose.</w:t>
      </w:r>
    </w:p>
    <w:p>
      <w:pPr>
        <w:pStyle w:val="Normal"/>
        <w:spacing w:lineRule="atLeast" w:line="257"/>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pPr>
        <w:pStyle w:val="Normal"/>
        <w:spacing w:lineRule="atLeast" w:line="257"/>
        <w:jc w:val="both"/>
        <w:rPr>
          <w:color w:val="000000"/>
          <w:szCs w:val="24"/>
        </w:rPr>
      </w:pPr>
      <w:r>
        <w:rPr>
          <w:color w:val="000000"/>
          <w:szCs w:val="24"/>
        </w:rPr>
        <w:t>8.1.3. Jei aktualu, Grafike turi būti pažymėta, kurios Prekės gali būti pristatomos lygiagrečiai, o kurios gali būti pristatomos tik numatytu eiliškumu.</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8.2.  Netesybos už Prekių pristatymo vėlavimą</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pPr>
        <w:pStyle w:val="Normal"/>
        <w:spacing w:lineRule="atLeast" w:line="257"/>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pPr>
        <w:pStyle w:val="Normal"/>
        <w:spacing w:lineRule="atLeast" w:line="257"/>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9.  PRIEVOLIŲ PAGAL SUTARTĮ ĮVYKDYMO UŽTIKRINIMO BŪDAI</w:t>
      </w:r>
    </w:p>
    <w:p>
      <w:pPr>
        <w:pStyle w:val="Normal"/>
        <w:spacing w:lineRule="atLeast" w:line="257"/>
        <w:ind w:firstLine="62"/>
        <w:rPr>
          <w:color w:val="000000"/>
          <w:szCs w:val="24"/>
        </w:rPr>
      </w:pPr>
      <w:r>
        <w:rPr>
          <w:color w:val="000000"/>
          <w:szCs w:val="24"/>
        </w:rPr>
      </w:r>
    </w:p>
    <w:p>
      <w:pPr>
        <w:pStyle w:val="Normal"/>
        <w:spacing w:lineRule="atLeast" w:line="257"/>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10.  SUTARTIES ĮVYKDYMO UŽTIKRINIMAS (JEI TAIKOMA)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shd w:fill="FFFFFF" w:val="clear"/>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pPr>
        <w:pStyle w:val="Normal"/>
        <w:spacing w:lineRule="atLeast" w:line="257"/>
        <w:jc w:val="both"/>
        <w:rPr>
          <w:color w:val="000000"/>
          <w:szCs w:val="24"/>
        </w:rPr>
      </w:pPr>
      <w:r>
        <w:rPr>
          <w:b/>
          <w:bCs/>
          <w:color w:val="000000"/>
          <w:szCs w:val="24"/>
        </w:rPr>
        <w:t>Pastaba.</w:t>
      </w:r>
      <w:r>
        <w:rPr>
          <w:color w:val="000000"/>
          <w:szCs w:val="24"/>
        </w:rPr>
        <w:t> </w:t>
      </w:r>
      <w:r>
        <w:rPr>
          <w:color w:val="000000"/>
          <w:szCs w:val="24"/>
          <w:shd w:fill="FFFFFF" w:val="clear"/>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pPr>
        <w:pStyle w:val="Normal"/>
        <w:spacing w:lineRule="atLeast" w:line="257"/>
        <w:jc w:val="both"/>
        <w:rPr>
          <w:color w:val="000000"/>
          <w:szCs w:val="24"/>
        </w:rPr>
      </w:pPr>
      <w:r>
        <w:rPr>
          <w:color w:val="000000"/>
          <w:szCs w:val="24"/>
          <w:shd w:fill="FFFFFF" w:val="clear"/>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fill="FFFFFF" w:val="clear"/>
        </w:rPr>
        <w:t xml:space="preserve">), atitinkantį Bendrųjų sąlygų 10 skyriuje nurodytas sąlygas, per Specialiosiose sąlygose nustatytą terminą (toliau – </w:t>
      </w:r>
      <w:r>
        <w:rPr>
          <w:b/>
          <w:bCs/>
          <w:color w:val="000000"/>
          <w:szCs w:val="24"/>
          <w:shd w:fill="FFFFFF" w:val="clear"/>
        </w:rPr>
        <w:t>Sutarties įvykdymo užtikrinimas</w:t>
      </w:r>
      <w:r>
        <w:rPr>
          <w:color w:val="000000"/>
          <w:szCs w:val="24"/>
          <w:shd w:fill="FFFFFF" w:val="clear"/>
        </w:rPr>
        <w:t>).</w:t>
      </w:r>
    </w:p>
    <w:p>
      <w:pPr>
        <w:pStyle w:val="Normal"/>
        <w:spacing w:lineRule="atLeast" w:line="257"/>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pPr>
        <w:pStyle w:val="Normal"/>
        <w:spacing w:lineRule="atLeast" w:line="257"/>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pPr>
        <w:pStyle w:val="Normal"/>
        <w:spacing w:lineRule="atLeast" w:line="257"/>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pPr>
        <w:pStyle w:val="Normal"/>
        <w:spacing w:lineRule="atLeast" w:line="257"/>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pPr>
        <w:pStyle w:val="Normal"/>
        <w:spacing w:lineRule="atLeast" w:line="257"/>
        <w:jc w:val="both"/>
        <w:textAlignment w:val="baseline"/>
        <w:rPr>
          <w:color w:val="000000"/>
          <w:szCs w:val="24"/>
        </w:rPr>
      </w:pPr>
      <w:r>
        <w:rPr>
          <w:color w:val="000000"/>
          <w:szCs w:val="24"/>
        </w:rPr>
        <w:t>10.7. Sutarties įvykdymo užtikrinimas turi įsigalioti ne vėliau negu jo pateikimo Pirkėjui dieną. </w:t>
      </w:r>
    </w:p>
    <w:p>
      <w:pPr>
        <w:pStyle w:val="Normal"/>
        <w:spacing w:lineRule="atLeast" w:line="257"/>
        <w:jc w:val="both"/>
        <w:textAlignment w:val="baseline"/>
        <w:rPr>
          <w:color w:val="000000"/>
          <w:szCs w:val="24"/>
        </w:rPr>
      </w:pPr>
      <w:r>
        <w:rPr>
          <w:color w:val="000000"/>
          <w:szCs w:val="24"/>
        </w:rPr>
        <w:t>10.8. Sutarties įvykdymo užtikrinimo suma turi būti nurodoma ir išmokama eurais. </w:t>
      </w:r>
    </w:p>
    <w:p>
      <w:pPr>
        <w:pStyle w:val="Normal"/>
        <w:spacing w:lineRule="atLeast" w:line="257"/>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pPr>
        <w:pStyle w:val="Normal"/>
        <w:spacing w:lineRule="atLeast" w:line="257"/>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pPr>
        <w:pStyle w:val="Normal"/>
        <w:spacing w:lineRule="atLeast" w:line="257"/>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pPr>
        <w:pStyle w:val="Normal"/>
        <w:spacing w:lineRule="atLeast" w:line="257"/>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pPr>
        <w:pStyle w:val="Normal"/>
        <w:spacing w:lineRule="atLeast" w:line="257"/>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pPr>
        <w:pStyle w:val="Normal"/>
        <w:spacing w:lineRule="atLeast" w:line="257"/>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pPr>
        <w:pStyle w:val="Normal"/>
        <w:spacing w:lineRule="atLeast" w:line="257"/>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pPr>
        <w:pStyle w:val="Normal"/>
        <w:spacing w:lineRule="atLeast" w:line="257"/>
        <w:jc w:val="both"/>
        <w:textAlignment w:val="baseline"/>
        <w:rPr>
          <w:color w:val="000000"/>
          <w:szCs w:val="24"/>
        </w:rPr>
      </w:pPr>
      <w:r>
        <w:rPr>
          <w:color w:val="000000"/>
          <w:szCs w:val="24"/>
        </w:rPr>
        <w:t>10.16. Pirkėjas gali pasinaudoti Sutarties įvykdymo užtikrinimu, esant bet kuriai iš žemiau nurodytų aplinkybių:  </w:t>
      </w:r>
    </w:p>
    <w:p>
      <w:pPr>
        <w:pStyle w:val="Normal"/>
        <w:spacing w:lineRule="atLeast" w:line="257"/>
        <w:jc w:val="both"/>
        <w:textAlignment w:val="baseline"/>
        <w:rPr>
          <w:color w:val="000000"/>
          <w:szCs w:val="24"/>
        </w:rPr>
      </w:pPr>
      <w:r>
        <w:rPr>
          <w:color w:val="000000"/>
          <w:szCs w:val="24"/>
        </w:rPr>
        <w:t>10.16.1. Tiekėjas neįvykdė, nevykdo arba netinkamai vykdo savo įsipareigojimus pagal Sutartį;  </w:t>
      </w:r>
    </w:p>
    <w:p>
      <w:pPr>
        <w:pStyle w:val="Normal"/>
        <w:spacing w:lineRule="atLeast" w:line="257"/>
        <w:jc w:val="both"/>
        <w:textAlignment w:val="baseline"/>
        <w:rPr>
          <w:color w:val="000000"/>
          <w:szCs w:val="24"/>
        </w:rPr>
      </w:pPr>
      <w:r>
        <w:rPr>
          <w:color w:val="000000"/>
          <w:szCs w:val="24"/>
        </w:rPr>
        <w:t>10.16.2. Tiekėjas per protingai nustatytą laikotarpį neįvykdo Pirkėjo nurodymo ištaisyti Prekių trūkumus;  </w:t>
      </w:r>
    </w:p>
    <w:p>
      <w:pPr>
        <w:pStyle w:val="Normal"/>
        <w:spacing w:lineRule="atLeast" w:line="257"/>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pPr>
        <w:pStyle w:val="Normal"/>
        <w:spacing w:lineRule="atLeast" w:line="257"/>
        <w:jc w:val="both"/>
        <w:textAlignment w:val="baseline"/>
        <w:rPr>
          <w:color w:val="000000"/>
          <w:szCs w:val="24"/>
        </w:rPr>
      </w:pPr>
      <w:r>
        <w:rPr>
          <w:color w:val="000000"/>
          <w:szCs w:val="24"/>
        </w:rPr>
        <w:t>10.16.4. Tiekėjas be pateisinamos priežasties (ne Sutartyje nustatytais atvejais) vienašališkai nutraukia Sutartį.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11.  SUTARTIES KAINA IR JOS PERSKAIČIAVIMAS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pPr>
        <w:pStyle w:val="Normal"/>
        <w:spacing w:lineRule="atLeast" w:line="257"/>
        <w:jc w:val="both"/>
        <w:rPr>
          <w:color w:val="000000"/>
          <w:szCs w:val="24"/>
        </w:rPr>
      </w:pPr>
      <w:r>
        <w:rPr>
          <w:color w:val="000000"/>
          <w:szCs w:val="24"/>
        </w:rPr>
        <w:t>11.2. Pradinės sutarties vertė yra nurodyta Specialiosiose sąlygose.</w:t>
      </w:r>
    </w:p>
    <w:p>
      <w:pPr>
        <w:pStyle w:val="Normal"/>
        <w:spacing w:lineRule="atLeast" w:line="257"/>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pPr>
        <w:pStyle w:val="Normal"/>
        <w:spacing w:lineRule="atLeast" w:line="257"/>
        <w:jc w:val="both"/>
        <w:rPr>
          <w:color w:val="000000"/>
          <w:szCs w:val="24"/>
        </w:rPr>
      </w:pPr>
      <w:r>
        <w:rPr>
          <w:color w:val="000000"/>
          <w:szCs w:val="24"/>
        </w:rPr>
        <w:t>11.4. Sutarties kainos peržiūra atliekama Specialiosiose sąlygose nustatyta tvarka.</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12.  ATSISKAITYMO TVARKA</w:t>
      </w:r>
    </w:p>
    <w:p>
      <w:pPr>
        <w:pStyle w:val="Normal"/>
        <w:spacing w:lineRule="atLeast" w:line="257"/>
        <w:ind w:firstLine="62"/>
        <w:jc w:val="center"/>
        <w:rPr>
          <w:color w:val="000000"/>
          <w:szCs w:val="24"/>
        </w:rPr>
      </w:pPr>
      <w:r>
        <w:rPr>
          <w:color w:val="000000"/>
          <w:szCs w:val="24"/>
        </w:rPr>
      </w:r>
    </w:p>
    <w:p>
      <w:pPr>
        <w:pStyle w:val="Normal"/>
        <w:spacing w:lineRule="atLeast" w:line="257"/>
        <w:jc w:val="center"/>
        <w:rPr>
          <w:color w:val="000000"/>
          <w:szCs w:val="24"/>
        </w:rPr>
      </w:pPr>
      <w:r>
        <w:rPr>
          <w:b/>
          <w:bCs/>
          <w:color w:val="000000"/>
          <w:szCs w:val="24"/>
        </w:rPr>
        <w:t>12.1.  Išankstinis mokėjimas (avansas) (jei taikoma)</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pPr>
        <w:pStyle w:val="Normal"/>
        <w:spacing w:lineRule="atLeast" w:line="257"/>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pPr>
        <w:pStyle w:val="Normal"/>
        <w:spacing w:lineRule="atLeast" w:line="257"/>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pPr>
        <w:pStyle w:val="Normal"/>
        <w:spacing w:lineRule="atLeast" w:line="257"/>
        <w:jc w:val="both"/>
        <w:textAlignment w:val="baseline"/>
        <w:rPr>
          <w:color w:val="000000"/>
          <w:szCs w:val="24"/>
        </w:rPr>
      </w:pPr>
      <w:r>
        <w:rPr>
          <w:b/>
          <w:bCs/>
          <w:color w:val="000000"/>
          <w:szCs w:val="24"/>
        </w:rPr>
        <w:t>Pastaba.</w:t>
      </w:r>
      <w:r>
        <w:rPr>
          <w:color w:val="000000"/>
          <w:szCs w:val="24"/>
        </w:rPr>
        <w:t> </w:t>
      </w:r>
      <w:r>
        <w:rPr>
          <w:color w:val="000000"/>
          <w:szCs w:val="24"/>
          <w:shd w:fill="FFFFFF" w:val="clear"/>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fill="FFFFFF" w:val="clear"/>
        </w:rPr>
        <w:t>įstatymų bei kitų teisės aktų</w:t>
      </w:r>
      <w:r>
        <w:rPr>
          <w:color w:val="000000"/>
          <w:szCs w:val="24"/>
        </w:rPr>
        <w:t> </w:t>
      </w:r>
      <w:r>
        <w:rPr>
          <w:color w:val="000000"/>
          <w:szCs w:val="24"/>
          <w:shd w:fill="FFFFFF" w:val="clear"/>
        </w:rPr>
        <w:t>nuostatas.</w:t>
      </w:r>
    </w:p>
    <w:p>
      <w:pPr>
        <w:pStyle w:val="Normal"/>
        <w:spacing w:lineRule="atLeast" w:line="257"/>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pPr>
        <w:pStyle w:val="Normal"/>
        <w:spacing w:lineRule="atLeast" w:line="257"/>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pPr>
        <w:pStyle w:val="Normal"/>
        <w:spacing w:lineRule="atLeast" w:line="257"/>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pPr>
        <w:pStyle w:val="Normal"/>
        <w:spacing w:lineRule="atLeast" w:line="257"/>
        <w:jc w:val="both"/>
        <w:textAlignment w:val="baseline"/>
        <w:rPr>
          <w:color w:val="000000"/>
          <w:szCs w:val="24"/>
        </w:rPr>
      </w:pPr>
      <w:r>
        <w:rPr>
          <w:color w:val="000000"/>
          <w:szCs w:val="24"/>
        </w:rPr>
        <w:t>12.1.7. Avanso užtikrinimo suma turi būti nurodoma ir išmokama eurais. </w:t>
      </w:r>
    </w:p>
    <w:p>
      <w:pPr>
        <w:pStyle w:val="Normal"/>
        <w:spacing w:lineRule="atLeast" w:line="257"/>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pPr>
        <w:pStyle w:val="Normal"/>
        <w:spacing w:lineRule="atLeast" w:line="257"/>
        <w:jc w:val="both"/>
        <w:textAlignment w:val="baseline"/>
        <w:rPr>
          <w:color w:val="000000"/>
          <w:szCs w:val="24"/>
        </w:rPr>
      </w:pPr>
      <w:r>
        <w:rPr>
          <w:color w:val="000000"/>
          <w:szCs w:val="24"/>
        </w:rPr>
        <w:t>12.1.9. Avanso užtikrinimas, neatitinkantis šiame Sutarties poskyryje nustatytų reikalavimų, nebus priimamas. </w:t>
      </w:r>
    </w:p>
    <w:p>
      <w:pPr>
        <w:pStyle w:val="Normal"/>
        <w:spacing w:lineRule="atLeast" w:line="257"/>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pPr>
        <w:pStyle w:val="Normal"/>
        <w:spacing w:lineRule="atLeast" w:line="257"/>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pPr>
        <w:pStyle w:val="Normal"/>
        <w:spacing w:lineRule="atLeast" w:line="257"/>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12.2.  Mokėjimų tvarka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12.2.1. Tiekėjas išrašo Sąskaitą tik Šalims pasirašius Prekių perdavimo–priėmimo aktą, jeigu kitaip nenumatyta Specialiosiose sąlygose:</w:t>
      </w:r>
    </w:p>
    <w:p>
      <w:pPr>
        <w:pStyle w:val="Normal"/>
        <w:spacing w:lineRule="atLeast" w:line="257"/>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pPr>
        <w:pStyle w:val="Normal"/>
        <w:spacing w:lineRule="atLeast" w:line="257"/>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pPr>
        <w:pStyle w:val="Normal"/>
        <w:spacing w:lineRule="atLeast" w:line="257"/>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pPr>
        <w:pStyle w:val="Normal"/>
        <w:spacing w:lineRule="atLeast" w:line="257"/>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pPr>
        <w:pStyle w:val="Normal"/>
        <w:spacing w:lineRule="atLeast" w:line="257"/>
        <w:jc w:val="both"/>
        <w:rPr>
          <w:color w:val="000000"/>
          <w:szCs w:val="24"/>
        </w:rPr>
      </w:pPr>
      <w:r>
        <w:rPr>
          <w:color w:val="000000"/>
          <w:szCs w:val="24"/>
        </w:rPr>
        <w:t>12.2.4. Pirkėjas atlieka mokėjimus už Prekes Specialiosiose sąlygose nustatytais terminais.</w:t>
      </w:r>
    </w:p>
    <w:p>
      <w:pPr>
        <w:pStyle w:val="Normal"/>
        <w:spacing w:lineRule="atLeast" w:line="257"/>
        <w:jc w:val="both"/>
        <w:rPr>
          <w:color w:val="000000"/>
          <w:szCs w:val="24"/>
        </w:rPr>
      </w:pPr>
      <w:r>
        <w:rPr>
          <w:color w:val="000000"/>
          <w:szCs w:val="24"/>
        </w:rPr>
        <w:t>12.2.5. Už mokėjimų pagal Sutartį vėlavimus, Pirkėjui taikomos netesybos Specialiosiose sąlygose nustatyta tvarka.</w:t>
      </w:r>
    </w:p>
    <w:p>
      <w:pPr>
        <w:pStyle w:val="Normal"/>
        <w:spacing w:lineRule="atLeast" w:line="257"/>
        <w:jc w:val="both"/>
        <w:rPr>
          <w:color w:val="000000"/>
          <w:szCs w:val="24"/>
        </w:rPr>
      </w:pPr>
      <w:r>
        <w:rPr>
          <w:color w:val="000000"/>
          <w:szCs w:val="24"/>
        </w:rPr>
        <w:t>12.2.6. Jei Prekės pristatomos dalimis, aukščiau nurodyta atsiskaitymo tvarka galioja kiekvienai tokiai daliai, jei Specialiosiose sąlygose nenustatyta kitaip.</w:t>
      </w:r>
    </w:p>
    <w:p>
      <w:pPr>
        <w:pStyle w:val="Normal"/>
        <w:spacing w:lineRule="atLeast" w:line="257"/>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12.3.  Kiti atsiskaitymo klausimai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12.3.1. Pirkėjas privalo pervesti mokėjimus Tiekėjui į Tiekėjo banko sąskaitą, nurodytą Specialiosiose sąlygose.</w:t>
      </w:r>
    </w:p>
    <w:p>
      <w:pPr>
        <w:pStyle w:val="Normal"/>
        <w:spacing w:lineRule="atLeast" w:line="257"/>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pPr>
        <w:pStyle w:val="Normal"/>
        <w:spacing w:lineRule="atLeast" w:line="257"/>
        <w:jc w:val="both"/>
        <w:rPr>
          <w:color w:val="000000"/>
          <w:szCs w:val="24"/>
        </w:rPr>
      </w:pPr>
      <w:r>
        <w:rPr>
          <w:color w:val="000000"/>
          <w:szCs w:val="24"/>
        </w:rPr>
        <w:t>12.3.3. Visi mokėjimai pagal Sutartį atliekami eurais.</w:t>
      </w:r>
    </w:p>
    <w:p>
      <w:pPr>
        <w:pStyle w:val="Normal"/>
        <w:spacing w:lineRule="atLeast" w:line="257"/>
        <w:jc w:val="both"/>
        <w:rPr>
          <w:color w:val="000000"/>
          <w:szCs w:val="24"/>
        </w:rPr>
      </w:pPr>
      <w:r>
        <w:rPr>
          <w:color w:val="000000"/>
          <w:szCs w:val="24"/>
        </w:rPr>
        <w:t>12.3.4. Už pavėluotus mokėjimus pagal Sutartį mokančioji Šalis privalo sumokėti kitai Šaliai Specialiosiose sąlygose nurodyto dydžio netesybas.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13.  KONFIDENCIALI INFORMACIJA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pPr>
        <w:pStyle w:val="Normal"/>
        <w:spacing w:lineRule="atLeast" w:line="257"/>
        <w:jc w:val="both"/>
        <w:rPr>
          <w:color w:val="000000"/>
          <w:szCs w:val="24"/>
        </w:rPr>
      </w:pPr>
      <w:r>
        <w:rPr>
          <w:color w:val="000000"/>
          <w:szCs w:val="24"/>
        </w:rPr>
        <w:t>13.2.  Šalis turi teisę atskleisti kitos Šalies konfidencialią informaciją šiais atvejais:</w:t>
      </w:r>
    </w:p>
    <w:p>
      <w:pPr>
        <w:pStyle w:val="Normal"/>
        <w:spacing w:lineRule="atLeast" w:line="257"/>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pPr>
        <w:pStyle w:val="Normal"/>
        <w:spacing w:lineRule="atLeast" w:line="257"/>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pPr>
        <w:pStyle w:val="Normal"/>
        <w:spacing w:lineRule="atLeast" w:line="257"/>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pPr>
        <w:pStyle w:val="Normal"/>
        <w:spacing w:lineRule="atLeast" w:line="257"/>
        <w:jc w:val="both"/>
        <w:rPr>
          <w:color w:val="000000"/>
          <w:szCs w:val="24"/>
        </w:rPr>
      </w:pPr>
      <w:r>
        <w:rPr>
          <w:color w:val="000000"/>
          <w:szCs w:val="24"/>
        </w:rPr>
        <w:t>13.4. Šalis atsako:</w:t>
      </w:r>
    </w:p>
    <w:p>
      <w:pPr>
        <w:pStyle w:val="Normal"/>
        <w:spacing w:lineRule="atLeast" w:line="257"/>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pPr>
        <w:pStyle w:val="Normal"/>
        <w:spacing w:lineRule="atLeast" w:line="257"/>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pPr>
        <w:pStyle w:val="Normal"/>
        <w:spacing w:lineRule="atLeast" w:line="257"/>
        <w:jc w:val="both"/>
        <w:rPr>
          <w:color w:val="000000"/>
          <w:szCs w:val="24"/>
        </w:rPr>
      </w:pPr>
      <w:r>
        <w:rPr>
          <w:color w:val="000000"/>
          <w:szCs w:val="24"/>
        </w:rPr>
        <w:t>13.5. Šalis nepagrįstai atskleidusi kitos Šalies konfidencialią informaciją privalo sumokėti kitai Šaliai Specialiosiose sąlygose nurodyto dydžio baudą.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14.  ASMENS DUOMENŲ APSAUGA</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pPr>
        <w:pStyle w:val="Normal"/>
        <w:spacing w:lineRule="atLeast" w:line="257"/>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pPr>
        <w:pStyle w:val="Normal"/>
        <w:spacing w:lineRule="atLeast" w:line="257"/>
        <w:ind w:firstLine="115" w:left="360"/>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15.  INTELEKTINĖ NUOSAVYBĖ</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pPr>
        <w:pStyle w:val="Normal"/>
        <w:spacing w:lineRule="atLeast" w:line="257"/>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pPr>
        <w:pStyle w:val="Normal"/>
        <w:spacing w:lineRule="atLeast" w:line="257"/>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16.  PAREIŠKIMAI IR GARANTIJOS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16.1. Kiekviena iš Šalių pareiškia ir garantuoja kitai Šaliai, kad:</w:t>
      </w:r>
    </w:p>
    <w:p>
      <w:pPr>
        <w:pStyle w:val="Normal"/>
        <w:spacing w:lineRule="atLeast" w:line="257"/>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pPr>
        <w:pStyle w:val="Normal"/>
        <w:spacing w:lineRule="atLeast" w:line="257"/>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pPr>
        <w:pStyle w:val="Normal"/>
        <w:spacing w:lineRule="atLeast" w:line="257"/>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pPr>
        <w:pStyle w:val="Normal"/>
        <w:spacing w:lineRule="atLeast" w:line="257"/>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pPr>
        <w:pStyle w:val="Normal"/>
        <w:spacing w:lineRule="atLeast" w:line="257"/>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pPr>
        <w:pStyle w:val="Normal"/>
        <w:spacing w:lineRule="atLeast" w:line="257"/>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pPr>
        <w:pStyle w:val="Normal"/>
        <w:spacing w:lineRule="atLeast" w:line="257"/>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pPr>
        <w:pStyle w:val="Normal"/>
        <w:jc w:val="both"/>
        <w:rPr>
          <w:color w:val="000000"/>
          <w:szCs w:val="24"/>
          <w:shd w:fill="FFFFFF" w:val="clear"/>
        </w:rPr>
      </w:pPr>
      <w:r>
        <w:rPr>
          <w:color w:val="000000"/>
          <w:szCs w:val="24"/>
          <w:shd w:fill="FFFFFF" w:val="clear"/>
        </w:rPr>
        <w:t>16.3. </w:t>
      </w:r>
      <w:r>
        <w:rPr>
          <w:color w:val="000000"/>
          <w:szCs w:val="24"/>
        </w:rPr>
        <w:t>Tiekėjas pareiškia, kad parduodamų Prekių disponavimo, valdymo ir naudojimosi teisės nėra apribotos </w:t>
      </w:r>
      <w:r>
        <w:rPr>
          <w:color w:val="000000"/>
          <w:szCs w:val="24"/>
          <w:shd w:fill="FFFFFF" w:val="clear"/>
        </w:rPr>
        <w:t>ir jokie tretieji asmenys neturi pretenzijų į Sutartimi perduodamas Prekes (įkeitimai, areštai ar pan.).</w:t>
      </w:r>
    </w:p>
    <w:p>
      <w:pPr>
        <w:pStyle w:val="Normal"/>
        <w:widowControl w:val="false"/>
        <w:tabs>
          <w:tab w:val="clear" w:pos="1296"/>
          <w:tab w:val="left" w:pos="567" w:leader="none"/>
          <w:tab w:val="left" w:pos="851" w:leader="none"/>
          <w:tab w:val="left" w:pos="992" w:leader="none"/>
          <w:tab w:val="left" w:pos="1134" w:leader="none"/>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pPr>
        <w:pStyle w:val="Normal"/>
        <w:rPr>
          <w:sz w:val="14"/>
          <w:szCs w:val="14"/>
        </w:rPr>
      </w:pPr>
      <w:r>
        <w:rPr>
          <w:sz w:val="14"/>
          <w:szCs w:val="14"/>
        </w:rPr>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17.  BENDRIEJI ATSAKOMYBĖS KLAUSIMAI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17.1. Netesybų sumokėjimas už vėlavimą ar pareigų pagal Sutartį pažeidimą neatleidžia Šalies nuo Sutartyje numatytų jos pareigų vykdymo.</w:t>
      </w:r>
    </w:p>
    <w:p>
      <w:pPr>
        <w:pStyle w:val="Normal"/>
        <w:spacing w:lineRule="atLeast" w:line="257"/>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pPr>
        <w:pStyle w:val="Normal"/>
        <w:spacing w:lineRule="atLeast" w:line="257"/>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pPr>
        <w:pStyle w:val="Normal"/>
        <w:spacing w:lineRule="atLeast" w:line="257"/>
        <w:jc w:val="both"/>
        <w:rPr>
          <w:color w:val="000000"/>
          <w:szCs w:val="24"/>
        </w:rPr>
      </w:pPr>
      <w:r>
        <w:rPr>
          <w:color w:val="000000"/>
          <w:szCs w:val="24"/>
        </w:rPr>
        <w:t>17.4. Šioje Sutartyje numatytos teisių gynybos priemonės neapriboja Šalių teisės pasinaudoti kitomis teisėtomis teisių gynybos priemonėmis.</w:t>
      </w:r>
    </w:p>
    <w:p>
      <w:pPr>
        <w:pStyle w:val="Normal"/>
        <w:spacing w:lineRule="atLeast" w:line="257"/>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pPr>
        <w:pStyle w:val="Normal"/>
        <w:spacing w:lineRule="atLeast" w:line="257"/>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pPr>
        <w:pStyle w:val="Normal"/>
        <w:spacing w:lineRule="atLeast" w:line="257"/>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pPr>
        <w:pStyle w:val="Normal"/>
        <w:spacing w:lineRule="atLeast" w:line="257"/>
        <w:ind w:firstLine="115"/>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18.  NENUGALIMA JĖGA (FORCE MAJEURE)</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pPr>
        <w:pStyle w:val="Normal"/>
        <w:spacing w:lineRule="atLeast" w:line="257"/>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pPr>
        <w:pStyle w:val="Normal"/>
        <w:spacing w:lineRule="atLeast" w:line="257"/>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pPr>
        <w:pStyle w:val="Normal"/>
        <w:spacing w:lineRule="atLeast" w:line="257"/>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pPr>
        <w:pStyle w:val="Normal"/>
        <w:spacing w:lineRule="atLeast" w:line="257"/>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pPr>
        <w:pStyle w:val="Normal"/>
        <w:spacing w:lineRule="atLeast" w:line="257"/>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19.  SUTARTIES NUOSTATŲ NEGALIOJIMAS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pPr>
        <w:pStyle w:val="Normal"/>
        <w:spacing w:lineRule="atLeast" w:line="257"/>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20.  SUTARTIES PAKEITIMAI</w:t>
      </w:r>
    </w:p>
    <w:p>
      <w:pPr>
        <w:pStyle w:val="Normal"/>
        <w:spacing w:lineRule="atLeast" w:line="257"/>
        <w:ind w:firstLine="62"/>
        <w:jc w:val="both"/>
        <w:rPr>
          <w:color w:val="000000"/>
          <w:szCs w:val="24"/>
        </w:rPr>
      </w:pPr>
      <w:r>
        <w:rPr>
          <w:color w:val="000000"/>
          <w:szCs w:val="24"/>
        </w:rPr>
      </w:r>
    </w:p>
    <w:p>
      <w:pPr>
        <w:pStyle w:val="Normal"/>
        <w:spacing w:lineRule="atLeast" w:line="257"/>
        <w:jc w:val="both"/>
        <w:rPr>
          <w:szCs w:val="24"/>
        </w:rPr>
      </w:pPr>
      <w:r>
        <w:rPr>
          <w:szCs w:val="24"/>
        </w:rPr>
        <w:t>20.1. Sutarties sąlygos Sutarties galiojimo laikotarpiu negali būti keičiamos, išskyrus tokias Sutarties sąlygas, kurių keitimas numatytas Sutartyje ir (ar) galimas vadovaujantis VPĮ nuostatomis.</w:t>
      </w:r>
    </w:p>
    <w:p>
      <w:pPr>
        <w:pStyle w:val="Normal"/>
        <w:spacing w:lineRule="atLeast" w:line="257"/>
        <w:jc w:val="both"/>
        <w:rPr>
          <w:color w:val="000000"/>
          <w:szCs w:val="24"/>
        </w:rPr>
      </w:pPr>
      <w:r>
        <w:rPr>
          <w:color w:val="000000"/>
          <w:szCs w:val="24"/>
        </w:rPr>
        <w:t>20.2. Sutarties pakeitimai įforminami Šalims sudarant Susitarimą.</w:t>
      </w:r>
    </w:p>
    <w:p>
      <w:pPr>
        <w:pStyle w:val="Normal"/>
        <w:spacing w:lineRule="atLeast" w:line="257"/>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pPr>
        <w:pStyle w:val="Normal"/>
        <w:spacing w:lineRule="atLeast" w:line="257"/>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pPr>
        <w:pStyle w:val="Normal"/>
        <w:spacing w:lineRule="atLeast" w:line="257"/>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21.  SUTARTIES SUSTABDYMAS</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pPr>
        <w:pStyle w:val="Normal"/>
        <w:spacing w:lineRule="atLeast" w:line="257"/>
        <w:jc w:val="both"/>
        <w:textAlignment w:val="baseline"/>
        <w:rPr>
          <w:color w:val="000000"/>
          <w:szCs w:val="24"/>
        </w:rPr>
      </w:pPr>
      <w:r>
        <w:rPr>
          <w:color w:val="000000"/>
          <w:szCs w:val="24"/>
        </w:rPr>
        <w:t>21.2. Prekių (jų dalies) tiekimas gali būti stabdomas esant bent vienai iš šių aplinkybių: </w:t>
      </w:r>
    </w:p>
    <w:p>
      <w:pPr>
        <w:pStyle w:val="Normal"/>
        <w:spacing w:lineRule="atLeast" w:line="257"/>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pPr>
        <w:pStyle w:val="Normal"/>
        <w:spacing w:lineRule="atLeast" w:line="257"/>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pPr>
        <w:pStyle w:val="Normal"/>
        <w:spacing w:lineRule="atLeast" w:line="257"/>
        <w:jc w:val="both"/>
        <w:textAlignment w:val="baseline"/>
        <w:rPr>
          <w:color w:val="000000"/>
          <w:szCs w:val="24"/>
        </w:rPr>
      </w:pPr>
      <w:r>
        <w:rPr>
          <w:color w:val="000000"/>
          <w:szCs w:val="24"/>
        </w:rPr>
        <w:t>21.2.3. dėl nenumatytų prekių, paslaugų ir (ar) darbų, susijusių su perkamu objektu, kurių poreikis paaiškėjo tik vykdant Sutartį; </w:t>
      </w:r>
    </w:p>
    <w:p>
      <w:pPr>
        <w:pStyle w:val="Normal"/>
        <w:spacing w:lineRule="atLeast" w:line="257"/>
        <w:jc w:val="both"/>
        <w:textAlignment w:val="baseline"/>
        <w:rPr>
          <w:color w:val="000000"/>
          <w:szCs w:val="24"/>
        </w:rPr>
      </w:pPr>
      <w:r>
        <w:rPr>
          <w:color w:val="000000"/>
          <w:szCs w:val="24"/>
        </w:rPr>
        <w:t>21.2.4. ne dėl Pirkėjo kaltės vėluoja kitos Pirkėjo pirkimo sutarties, turinčios tiesioginės įtakos šiai Sutarčiai, vykdymas;  </w:t>
      </w:r>
    </w:p>
    <w:p>
      <w:pPr>
        <w:pStyle w:val="Normal"/>
        <w:spacing w:lineRule="atLeast" w:line="257"/>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pPr>
        <w:pStyle w:val="Normal"/>
        <w:spacing w:lineRule="atLeast" w:line="257"/>
        <w:jc w:val="both"/>
        <w:textAlignment w:val="baseline"/>
        <w:rPr>
          <w:color w:val="000000"/>
          <w:szCs w:val="24"/>
        </w:rPr>
      </w:pPr>
      <w:r>
        <w:rPr>
          <w:color w:val="000000"/>
          <w:szCs w:val="24"/>
        </w:rPr>
        <w:t>21.2.6. pasikeitus galiojančiam teisės aktui ar įsigaliojus naujam teisės aktui, kuris turi įtakos šios Sutarties vykdymui; </w:t>
      </w:r>
    </w:p>
    <w:p>
      <w:pPr>
        <w:pStyle w:val="Normal"/>
        <w:spacing w:lineRule="atLeast" w:line="257"/>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pPr>
        <w:pStyle w:val="Normal"/>
        <w:spacing w:lineRule="atLeast" w:line="257"/>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pPr>
        <w:pStyle w:val="Normal"/>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pPr>
        <w:pStyle w:val="Normal"/>
        <w:tabs>
          <w:tab w:val="clear" w:pos="1296"/>
          <w:tab w:val="left" w:pos="567" w:leader="none"/>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pPr>
        <w:pStyle w:val="Normal"/>
        <w:jc w:val="both"/>
        <w:textAlignment w:val="baseline"/>
        <w:rPr>
          <w:color w:val="000000"/>
          <w:szCs w:val="24"/>
        </w:rPr>
      </w:pPr>
      <w:r>
        <w:rPr>
          <w:color w:val="000000"/>
          <w:szCs w:val="24"/>
        </w:rPr>
        <w:t>21.5. Sutartinių įsipareigojimų vykdymas gali būti stabdomas tik Sutarties galiojimo laikotarpiu tokia tvarka:</w:t>
      </w:r>
    </w:p>
    <w:p>
      <w:pPr>
        <w:pStyle w:val="Normal"/>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pPr>
        <w:pStyle w:val="Normal"/>
        <w:spacing w:lineRule="atLeast" w:line="264"/>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pPr>
        <w:pStyle w:val="Normal"/>
        <w:spacing w:lineRule="atLeast" w:line="264"/>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pPr>
        <w:pStyle w:val="Normal"/>
        <w:spacing w:lineRule="atLeast" w:line="264"/>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pPr>
        <w:pStyle w:val="Normal"/>
        <w:spacing w:lineRule="atLeast" w:line="264"/>
        <w:jc w:val="both"/>
        <w:rPr>
          <w:color w:val="000000"/>
          <w:szCs w:val="24"/>
        </w:rPr>
      </w:pPr>
      <w:r>
        <w:rPr>
          <w:color w:val="000000"/>
          <w:szCs w:val="24"/>
        </w:rPr>
        <w:t>21.7. Sutartinių įsipareigojimų vykdymas stabdomas ne ilgesniam kaip konkrečios, pagrįstos aplinkybės egzistavimo laikotarpiui.</w:t>
      </w:r>
    </w:p>
    <w:p>
      <w:pPr>
        <w:pStyle w:val="Normal"/>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pPr>
        <w:pStyle w:val="Normal"/>
        <w:tabs>
          <w:tab w:val="clear" w:pos="1296"/>
          <w:tab w:val="left" w:pos="567" w:leader="none"/>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pPr>
        <w:pStyle w:val="Normal"/>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pPr>
        <w:pStyle w:val="Normal"/>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22.  SUTARTIES NUTRAUKIMAS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olor w:val="000000"/>
          <w:szCs w:val="24"/>
        </w:rPr>
        <w:t>Sutartis gali būti nutraukiama VPĮ 90 straipsnyje ir Sutartyje numatytais atvejais, įskaitant galimybę nutraukti Sutartį Šalių susitarimu.</w:t>
      </w:r>
    </w:p>
    <w:p>
      <w:pPr>
        <w:pStyle w:val="Normal"/>
        <w:spacing w:lineRule="atLeast" w:line="257"/>
        <w:ind w:firstLine="62"/>
        <w:jc w:val="both"/>
        <w:rPr>
          <w:color w:val="000000"/>
          <w:szCs w:val="24"/>
        </w:rPr>
      </w:pPr>
      <w:r>
        <w:rPr>
          <w:color w:val="000000"/>
          <w:szCs w:val="24"/>
        </w:rPr>
      </w:r>
    </w:p>
    <w:p>
      <w:pPr>
        <w:pStyle w:val="Normal"/>
        <w:spacing w:lineRule="atLeast" w:line="257"/>
        <w:jc w:val="center"/>
        <w:rPr>
          <w:color w:val="000000"/>
          <w:szCs w:val="24"/>
        </w:rPr>
      </w:pPr>
      <w:r>
        <w:rPr>
          <w:b/>
          <w:bCs/>
          <w:color w:val="000000"/>
          <w:szCs w:val="24"/>
        </w:rPr>
        <w:t>22.1.  Pretenzijos dėl Sutarties pažeidimų</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pPr>
        <w:pStyle w:val="Normal"/>
        <w:spacing w:lineRule="atLeast" w:line="257"/>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22.2.  Sutarties nutraukimas Pirkėjo iniciatyva</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pPr>
        <w:pStyle w:val="Normal"/>
        <w:spacing w:lineRule="atLeast" w:line="257"/>
        <w:jc w:val="both"/>
        <w:textAlignment w:val="baseline"/>
        <w:rPr>
          <w:szCs w:val="24"/>
        </w:rPr>
      </w:pPr>
      <w:r>
        <w:rPr>
          <w:szCs w:val="24"/>
        </w:rPr>
        <w:t>22.2.2. Pirkėjas turi teisę vienašališkai nutraukti Sutartį ar jos dalį raštu įspėjęs Tiekėją prieš ne trumpesnį nei 10 (dešimties) dienų terminą, jeigu: </w:t>
      </w:r>
    </w:p>
    <w:p>
      <w:pPr>
        <w:pStyle w:val="Normal"/>
        <w:spacing w:lineRule="atLeast" w:line="257"/>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fill="FFFFFF" w:val="clear"/>
        </w:rPr>
        <w:t>;</w:t>
      </w:r>
      <w:r>
        <w:rPr>
          <w:color w:val="000000"/>
          <w:szCs w:val="24"/>
        </w:rPr>
        <w:t> </w:t>
      </w:r>
    </w:p>
    <w:p>
      <w:pPr>
        <w:pStyle w:val="Normal"/>
        <w:spacing w:lineRule="atLeast" w:line="257"/>
        <w:jc w:val="both"/>
        <w:rPr>
          <w:szCs w:val="24"/>
        </w:rPr>
      </w:pPr>
      <w:r>
        <w:rPr>
          <w:szCs w:val="24"/>
        </w:rPr>
        <w:t>22.2.2.2. Tiekėjo padėtis pasikeičia ir jis atitinka pirkimo dokumentuose nustatytą pašalinimo pagrindą;</w:t>
      </w:r>
    </w:p>
    <w:p>
      <w:pPr>
        <w:pStyle w:val="Normal"/>
        <w:spacing w:lineRule="atLeast" w:line="257"/>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pPr>
        <w:pStyle w:val="Normal"/>
        <w:spacing w:lineRule="atLeast" w:line="257"/>
        <w:jc w:val="both"/>
        <w:textAlignment w:val="baseline"/>
        <w:rPr>
          <w:color w:val="000000"/>
          <w:szCs w:val="24"/>
        </w:rPr>
      </w:pPr>
      <w:r>
        <w:rPr>
          <w:color w:val="000000"/>
          <w:szCs w:val="24"/>
        </w:rPr>
        <w:t>22.2.2.4. Pirkėjas nusprendžia nebevykdyti veiklos, kurios vykdymui Sutartimi įsigyjamos Prekės ir Sutarties poreikis išnyksta; </w:t>
      </w:r>
    </w:p>
    <w:p>
      <w:pPr>
        <w:pStyle w:val="Normal"/>
        <w:spacing w:lineRule="atLeast" w:line="257"/>
        <w:jc w:val="both"/>
        <w:textAlignment w:val="baseline"/>
        <w:rPr>
          <w:color w:val="000000"/>
          <w:szCs w:val="24"/>
        </w:rPr>
      </w:pPr>
      <w:r>
        <w:rPr>
          <w:color w:val="000000"/>
          <w:szCs w:val="24"/>
        </w:rPr>
        <w:t>22.2.2.5. Pirkėjo valdymo organas priima sprendimą, dėl kurio Sutarties poreikis išnyksta; </w:t>
      </w:r>
    </w:p>
    <w:p>
      <w:pPr>
        <w:pStyle w:val="Normal"/>
        <w:spacing w:lineRule="atLeast" w:line="257"/>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pPr>
        <w:pStyle w:val="Normal"/>
        <w:spacing w:lineRule="atLeast" w:line="257"/>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pPr>
        <w:pStyle w:val="Normal"/>
        <w:spacing w:lineRule="atLeast" w:line="257"/>
        <w:jc w:val="both"/>
        <w:textAlignment w:val="baseline"/>
        <w:rPr>
          <w:color w:val="000000"/>
          <w:szCs w:val="24"/>
        </w:rPr>
      </w:pPr>
      <w:r>
        <w:rPr>
          <w:color w:val="000000"/>
          <w:szCs w:val="24"/>
        </w:rPr>
        <w:t>22.2.2.8. nebelieka perkamų Prekių poreikio; </w:t>
      </w:r>
    </w:p>
    <w:p>
      <w:pPr>
        <w:pStyle w:val="Normal"/>
        <w:spacing w:lineRule="atLeast" w:line="257"/>
        <w:jc w:val="both"/>
        <w:textAlignment w:val="baseline"/>
        <w:rPr>
          <w:color w:val="000000"/>
          <w:szCs w:val="24"/>
        </w:rPr>
      </w:pPr>
      <w:r>
        <w:rPr>
          <w:color w:val="000000"/>
          <w:szCs w:val="24"/>
        </w:rPr>
        <w:t>22.2.2.9. Pirkėjas iš pirkimų priežiūrą atliekančių institucijų gauna nurodymą ar rekomendaciją nutraukti Sutartį;</w:t>
      </w:r>
    </w:p>
    <w:p>
      <w:pPr>
        <w:pStyle w:val="Normal"/>
        <w:spacing w:lineRule="atLeast" w:line="257"/>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pPr>
        <w:pStyle w:val="Normal"/>
        <w:spacing w:lineRule="atLeast" w:line="257"/>
        <w:jc w:val="both"/>
        <w:textAlignment w:val="baseline"/>
        <w:rPr>
          <w:color w:val="000000"/>
          <w:szCs w:val="24"/>
        </w:rPr>
      </w:pPr>
      <w:r>
        <w:rPr>
          <w:color w:val="000000"/>
          <w:szCs w:val="24"/>
        </w:rPr>
        <w:t>22.2.2.11. Tiekėjas atsisako pašalinti arba nepašalina Prekių trūkumų per Pirkėjo nustatytus protingus terminus;</w:t>
      </w:r>
    </w:p>
    <w:p>
      <w:pPr>
        <w:pStyle w:val="Normal"/>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pPr>
        <w:pStyle w:val="Normal"/>
        <w:tabs>
          <w:tab w:val="clear" w:pos="1296"/>
          <w:tab w:val="left" w:pos="567" w:leader="none"/>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pPr>
        <w:pStyle w:val="Normal"/>
        <w:tabs>
          <w:tab w:val="clear" w:pos="1296"/>
          <w:tab w:val="left" w:pos="567" w:leader="none"/>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pPr>
        <w:pStyle w:val="Normal"/>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pPr>
        <w:pStyle w:val="Normal"/>
        <w:spacing w:lineRule="atLeast" w:line="257"/>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pPr>
        <w:pStyle w:val="Normal"/>
        <w:spacing w:lineRule="atLeast" w:line="257"/>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pPr>
        <w:pStyle w:val="Normal"/>
        <w:spacing w:lineRule="atLeast" w:line="257"/>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pPr>
        <w:pStyle w:val="Normal"/>
        <w:spacing w:lineRule="atLeast" w:line="257"/>
        <w:jc w:val="both"/>
        <w:textAlignment w:val="baseline"/>
        <w:rPr>
          <w:color w:val="000000"/>
          <w:szCs w:val="24"/>
        </w:rPr>
      </w:pPr>
      <w:r>
        <w:rPr>
          <w:color w:val="000000"/>
          <w:szCs w:val="24"/>
        </w:rPr>
        <w:t>22.2.7. Sutartis laikoma nutraukta kitą dieną po to, kai pasibaigia įspėjimo apie Sutarties nutraukimą terminas.  </w:t>
      </w:r>
    </w:p>
    <w:p>
      <w:pPr>
        <w:pStyle w:val="Normal"/>
        <w:spacing w:lineRule="atLeast" w:line="257"/>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22.3.  Sutarties nutraukimas Tiekėjo iniciatyva</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pPr>
        <w:pStyle w:val="Normal"/>
        <w:spacing w:lineRule="atLeast" w:line="257"/>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pPr>
        <w:pStyle w:val="Normal"/>
        <w:spacing w:lineRule="atLeast" w:line="257"/>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pPr>
        <w:pStyle w:val="Normal"/>
        <w:spacing w:lineRule="atLeast" w:line="257"/>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pPr>
        <w:pStyle w:val="Normal"/>
        <w:spacing w:lineRule="atLeast" w:line="257"/>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pPr>
        <w:pStyle w:val="Normal"/>
        <w:spacing w:lineRule="atLeast" w:line="257"/>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pPr>
        <w:pStyle w:val="Normal"/>
        <w:spacing w:lineRule="atLeast" w:line="257"/>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pPr>
        <w:pStyle w:val="Normal"/>
        <w:spacing w:lineRule="atLeast" w:line="257"/>
        <w:jc w:val="both"/>
        <w:textAlignment w:val="baseline"/>
        <w:rPr>
          <w:color w:val="000000"/>
          <w:szCs w:val="24"/>
        </w:rPr>
      </w:pPr>
      <w:r>
        <w:rPr>
          <w:color w:val="000000"/>
          <w:szCs w:val="24"/>
        </w:rPr>
        <w:t>22.3.6. Sutartis laikoma nutraukta kitą dieną po to, kai pasibaigia įspėjimo apie Sutarties nutraukimą terminas. </w:t>
      </w:r>
    </w:p>
    <w:p>
      <w:pPr>
        <w:pStyle w:val="Normal"/>
        <w:spacing w:lineRule="atLeast" w:line="257"/>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olor w:val="000000"/>
          <w:szCs w:val="24"/>
        </w:rPr>
        <w:t>22.4.  Šalių teisės ir pareigos Sutarties nutraukimo atveju</w:t>
      </w:r>
    </w:p>
    <w:p>
      <w:pPr>
        <w:pStyle w:val="Normal"/>
        <w:spacing w:lineRule="atLeast" w:line="257"/>
        <w:ind w:firstLine="62"/>
        <w:jc w:val="both"/>
        <w:rPr>
          <w:color w:val="000000"/>
          <w:szCs w:val="24"/>
        </w:rPr>
      </w:pPr>
      <w:r>
        <w:rPr>
          <w:color w:val="000000"/>
          <w:szCs w:val="24"/>
        </w:rPr>
      </w:r>
    </w:p>
    <w:p>
      <w:pPr>
        <w:pStyle w:val="Normal"/>
        <w:spacing w:lineRule="atLeast" w:line="257"/>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pPr>
        <w:pStyle w:val="Normal"/>
        <w:spacing w:lineRule="atLeast" w:line="257"/>
        <w:jc w:val="both"/>
        <w:textAlignment w:val="baseline"/>
        <w:rPr>
          <w:color w:val="000000"/>
          <w:szCs w:val="24"/>
        </w:rPr>
      </w:pPr>
      <w:r>
        <w:rPr>
          <w:color w:val="000000"/>
          <w:szCs w:val="24"/>
        </w:rPr>
        <w:t>22.4.2. Nutraukus Sutartį, Šalys privalo: </w:t>
      </w:r>
    </w:p>
    <w:p>
      <w:pPr>
        <w:pStyle w:val="Normal"/>
        <w:spacing w:lineRule="atLeast" w:line="257"/>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pPr>
        <w:pStyle w:val="Normal"/>
        <w:spacing w:lineRule="atLeast" w:line="257"/>
        <w:jc w:val="both"/>
        <w:textAlignment w:val="baseline"/>
        <w:rPr>
          <w:color w:val="000000"/>
          <w:szCs w:val="24"/>
        </w:rPr>
      </w:pPr>
      <w:r>
        <w:rPr>
          <w:color w:val="000000"/>
          <w:szCs w:val="24"/>
        </w:rPr>
        <w:t>22.4.2.2. atsiskaityti už iki Sutarties nutraukimo pristatytas Prekes, atitinkančias Sutarties reikalavimus; </w:t>
      </w:r>
    </w:p>
    <w:p>
      <w:pPr>
        <w:pStyle w:val="Normal"/>
        <w:spacing w:lineRule="atLeast" w:line="257"/>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pPr>
        <w:pStyle w:val="Normal"/>
        <w:spacing w:lineRule="atLeast" w:line="257"/>
        <w:ind w:firstLine="62"/>
        <w:jc w:val="both"/>
        <w:textAlignment w:val="baseline"/>
        <w:rPr>
          <w:color w:val="000000"/>
          <w:szCs w:val="24"/>
        </w:rPr>
      </w:pPr>
      <w:r>
        <w:rPr>
          <w:color w:val="000000"/>
          <w:szCs w:val="24"/>
        </w:rPr>
      </w:r>
    </w:p>
    <w:p>
      <w:pPr>
        <w:pStyle w:val="Normal"/>
        <w:spacing w:lineRule="atLeast" w:line="257"/>
        <w:jc w:val="center"/>
        <w:rPr>
          <w:color w:val="000000"/>
          <w:szCs w:val="24"/>
        </w:rPr>
      </w:pPr>
      <w:r>
        <w:rPr>
          <w:b/>
          <w:bCs/>
          <w:caps/>
          <w:color w:val="000000"/>
          <w:szCs w:val="24"/>
        </w:rPr>
        <w:t>23.  PREKIŲ MODELIO AR GAMINTOJO KEITIMAS</w:t>
      </w:r>
    </w:p>
    <w:p>
      <w:pPr>
        <w:pStyle w:val="Normal"/>
        <w:spacing w:lineRule="atLeast" w:line="257"/>
        <w:ind w:firstLine="62"/>
        <w:jc w:val="both"/>
        <w:rPr>
          <w:color w:val="000000"/>
          <w:szCs w:val="24"/>
        </w:rPr>
      </w:pPr>
      <w:r>
        <w:rPr>
          <w:color w:val="000000"/>
          <w:szCs w:val="24"/>
        </w:rPr>
      </w:r>
    </w:p>
    <w:p>
      <w:pPr>
        <w:pStyle w:val="Normal"/>
        <w:spacing w:lineRule="atLeast" w:line="257"/>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pPr>
        <w:pStyle w:val="Normal"/>
        <w:spacing w:lineRule="atLeast" w:line="257"/>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pPr>
        <w:pStyle w:val="Normal"/>
        <w:spacing w:lineRule="atLeast" w:line="257"/>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pPr>
        <w:pStyle w:val="Normal"/>
        <w:spacing w:lineRule="atLeast" w:line="257"/>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fill="FFFFFF" w:val="clear"/>
        </w:rPr>
        <w:t>ir lygiavertiškumo ar geresnės kokybės nei Sutartyje nurodytos Prekės</w:t>
      </w:r>
      <w:r>
        <w:rPr>
          <w:color w:val="000000"/>
          <w:szCs w:val="24"/>
        </w:rPr>
        <w:t>;</w:t>
      </w:r>
    </w:p>
    <w:p>
      <w:pPr>
        <w:pStyle w:val="Normal"/>
        <w:spacing w:lineRule="atLeast" w:line="257"/>
        <w:jc w:val="both"/>
        <w:rPr>
          <w:color w:val="000000"/>
          <w:szCs w:val="24"/>
        </w:rPr>
      </w:pPr>
      <w:r>
        <w:rPr>
          <w:color w:val="000000"/>
          <w:szCs w:val="24"/>
        </w:rPr>
        <w:t>23.1.4. Šalys sudarė rašytinį Susitarimą prie Sutarties dėl Prekių keitimo.</w:t>
      </w:r>
    </w:p>
    <w:p>
      <w:pPr>
        <w:pStyle w:val="Normal"/>
        <w:spacing w:lineRule="atLeast" w:line="257"/>
        <w:jc w:val="both"/>
        <w:rPr>
          <w:color w:val="000000"/>
          <w:szCs w:val="24"/>
        </w:rPr>
      </w:pPr>
      <w:r>
        <w:rPr>
          <w:color w:val="000000"/>
          <w:szCs w:val="24"/>
        </w:rPr>
        <w:t>23.2. Šiame Bendrųjų sąlygų skyriuje nurodytu atveju Prekės turi būti pristatytos už ne didesnę nei pasiūlyme nurodytą kainą.</w:t>
      </w:r>
    </w:p>
    <w:p>
      <w:pPr>
        <w:pStyle w:val="Normal"/>
        <w:spacing w:lineRule="atLeast" w:line="257"/>
        <w:ind w:firstLine="62"/>
        <w:jc w:val="both"/>
        <w:rPr>
          <w:color w:val="000000"/>
          <w:szCs w:val="24"/>
        </w:rPr>
      </w:pPr>
      <w:r>
        <w:rPr>
          <w:color w:val="000000"/>
          <w:szCs w:val="24"/>
        </w:rPr>
      </w:r>
    </w:p>
    <w:p>
      <w:pPr>
        <w:pStyle w:val="Normal"/>
        <w:spacing w:lineRule="atLeast" w:line="257"/>
        <w:ind w:hanging="360" w:left="360"/>
        <w:jc w:val="center"/>
        <w:rPr>
          <w:color w:val="000000"/>
          <w:szCs w:val="24"/>
        </w:rPr>
      </w:pPr>
      <w:r>
        <w:rPr>
          <w:b/>
          <w:bCs/>
          <w:caps/>
          <w:color w:val="000000"/>
          <w:szCs w:val="24"/>
        </w:rPr>
        <w:t>24.  BENDRAVIMO TVARKA IR KALBA</w:t>
      </w:r>
    </w:p>
    <w:p>
      <w:pPr>
        <w:pStyle w:val="Normal"/>
        <w:spacing w:lineRule="atLeast" w:line="257"/>
        <w:ind w:firstLine="62" w:left="360"/>
        <w:jc w:val="both"/>
        <w:rPr>
          <w:color w:val="000000"/>
          <w:szCs w:val="24"/>
        </w:rPr>
      </w:pPr>
      <w:r>
        <w:rPr>
          <w:color w:val="000000"/>
          <w:szCs w:val="24"/>
        </w:rPr>
      </w:r>
    </w:p>
    <w:p>
      <w:pPr>
        <w:pStyle w:val="Normal"/>
        <w:spacing w:lineRule="atLeast" w:line="257"/>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fill="FFFFFF" w:val="clear"/>
        </w:rPr>
        <w:t>autentišku laikomas tik lietuvių kalba parengtas Sutarties tekstas (jei yra neatitikimų, pirmenybė teikiama lietuvių kalba parengtam tekstui).</w:t>
      </w:r>
    </w:p>
    <w:p>
      <w:pPr>
        <w:pStyle w:val="Normal"/>
        <w:spacing w:lineRule="atLeast" w:line="257"/>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pPr>
        <w:pStyle w:val="Normal"/>
        <w:spacing w:lineRule="atLeast" w:line="257"/>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pPr>
        <w:pStyle w:val="Normal"/>
        <w:spacing w:lineRule="atLeast" w:line="257"/>
        <w:jc w:val="both"/>
        <w:rPr>
          <w:color w:val="000000"/>
          <w:szCs w:val="24"/>
        </w:rPr>
      </w:pPr>
      <w:r>
        <w:rPr>
          <w:color w:val="000000"/>
          <w:szCs w:val="24"/>
        </w:rPr>
        <w:t>24.4. Jeigu pranešimas siunčiamas el. paštu, laikoma, kad Šalis jį gavo kitą darbo dieną.</w:t>
      </w:r>
    </w:p>
    <w:p>
      <w:pPr>
        <w:pStyle w:val="Normal"/>
        <w:spacing w:lineRule="atLeast" w:line="257"/>
        <w:jc w:val="both"/>
        <w:rPr>
          <w:color w:val="000000"/>
          <w:szCs w:val="24"/>
        </w:rPr>
      </w:pPr>
      <w:r>
        <w:rPr>
          <w:color w:val="000000"/>
          <w:szCs w:val="24"/>
        </w:rPr>
        <w:t>24.5. Jeigu pranešimas siunčiamas keliais skirtingais būdais, laikoma, kad gavėjas jį gavo tada, kai jis gavo pirmesnįjį pranešimą.</w:t>
      </w:r>
    </w:p>
    <w:p>
      <w:pPr>
        <w:pStyle w:val="Normal"/>
        <w:spacing w:lineRule="atLeast" w:line="257"/>
        <w:ind w:firstLine="62"/>
        <w:jc w:val="both"/>
        <w:rPr>
          <w:color w:val="000000"/>
          <w:szCs w:val="24"/>
        </w:rPr>
      </w:pPr>
      <w:r>
        <w:rPr>
          <w:color w:val="000000"/>
          <w:szCs w:val="24"/>
        </w:rPr>
      </w:r>
    </w:p>
    <w:p>
      <w:pPr>
        <w:pStyle w:val="Normal"/>
        <w:spacing w:lineRule="atLeast" w:line="257"/>
        <w:ind w:hanging="360" w:left="360"/>
        <w:jc w:val="center"/>
        <w:rPr>
          <w:color w:val="000000"/>
          <w:szCs w:val="24"/>
        </w:rPr>
      </w:pPr>
      <w:r>
        <w:rPr>
          <w:b/>
          <w:bCs/>
          <w:caps/>
          <w:color w:val="000000"/>
          <w:szCs w:val="24"/>
        </w:rPr>
        <w:t>25.  PRETENZIJOS IR GINČŲ SPRENDIMAS</w:t>
      </w:r>
    </w:p>
    <w:p>
      <w:pPr>
        <w:pStyle w:val="Normal"/>
        <w:spacing w:lineRule="atLeast" w:line="257"/>
        <w:ind w:firstLine="62" w:left="360"/>
        <w:jc w:val="both"/>
        <w:rPr>
          <w:color w:val="000000"/>
          <w:szCs w:val="24"/>
        </w:rPr>
      </w:pPr>
      <w:r>
        <w:rPr>
          <w:color w:val="000000"/>
          <w:szCs w:val="24"/>
        </w:rPr>
      </w:r>
    </w:p>
    <w:p>
      <w:pPr>
        <w:pStyle w:val="Normal"/>
        <w:spacing w:lineRule="atLeast" w:line="257"/>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pPr>
        <w:pStyle w:val="Normal"/>
        <w:spacing w:lineRule="atLeast" w:line="257"/>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pPr>
        <w:pStyle w:val="Normal"/>
        <w:spacing w:lineRule="atLeast" w:line="257"/>
        <w:jc w:val="both"/>
        <w:rPr>
          <w:color w:val="000000"/>
          <w:szCs w:val="24"/>
        </w:rPr>
      </w:pPr>
      <w:r>
        <w:rPr>
          <w:color w:val="000000"/>
          <w:szCs w:val="24"/>
        </w:rPr>
        <w:t>25.3. Kilę ginčai nesudaro pagrindo Šalims atsisakyti vykdyti savo prievoles pagal Sutartį.</w:t>
      </w:r>
    </w:p>
    <w:p>
      <w:pPr>
        <w:pStyle w:val="Normal"/>
        <w:spacing w:lineRule="atLeast" w:line="257"/>
        <w:textAlignment w:val="center"/>
        <w:rPr>
          <w:color w:val="000000"/>
          <w:szCs w:val="24"/>
        </w:rPr>
      </w:pPr>
      <w:r>
        <w:rPr>
          <w:color w:val="000000"/>
          <w:szCs w:val="24"/>
        </w:rPr>
      </w:r>
    </w:p>
    <w:p>
      <w:pPr>
        <w:pStyle w:val="Normal"/>
        <w:spacing w:lineRule="auto" w:line="259"/>
        <w:jc w:val="center"/>
        <w:rPr>
          <w:kern w:val="2"/>
          <w:szCs w:val="24"/>
        </w:rPr>
      </w:pPr>
      <w:r>
        <w:rPr>
          <w:kern w:val="2"/>
          <w:szCs w:val="24"/>
        </w:rPr>
        <w:t>________________</w:t>
      </w:r>
    </w:p>
    <w:p>
      <w:pPr>
        <w:pStyle w:val="Normal"/>
        <w:rPr/>
      </w:pPr>
      <w:r>
        <w:rPr/>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701" w:right="567" w:gutter="0" w:header="720" w:top="1134" w:footer="720" w:bottom="1134"/>
      <w:pgNumType w:start="1"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1296"/>
        <w:tab w:val="center" w:pos="4680" w:leader="none"/>
        <w:tab w:val="right" w:pos="9360" w:leader="none"/>
      </w:tabs>
      <w:rPr/>
    </w:pPr>
    <w:r>
      <w:rPr/>
    </w:r>
  </w:p>
</w:hdr>
</file>

<file path=word/settings.xml><?xml version="1.0" encoding="utf-8"?>
<w:settings xmlns:w="http://schemas.openxmlformats.org/wordprocessingml/2006/main">
  <w:zoom w:percent="100"/>
  <w:defaultTabStop w:val="1296"/>
  <w:autoHyphenation w:val="true"/>
  <w:doNotHyphenateCaps/>
  <w:hyphenationZone w:val="396"/>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lang w:val="lt-LT" w:eastAsia="en-US" w:bidi="ar-SA"/>
      </w:rPr>
    </w:rPrDefault>
    <w:pPrDefault>
      <w:pPr>
        <w:suppressAutoHyphens w:val="true"/>
      </w:pPr>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0"/>
      <w:lang w:val="lt-LT" w:eastAsia="en-US" w:bidi="ar-SA"/>
    </w:rPr>
  </w:style>
  <w:style w:type="paragraph" w:styleId="Heading2">
    <w:name w:val="Heading 2"/>
    <w:basedOn w:val="Normal"/>
    <w:next w:val="Normal"/>
    <w:link w:val="Heading2Char"/>
    <w:uiPriority w:val="9"/>
    <w:unhideWhenUsed/>
    <w:qFormat/>
    <w:rsid w:val="005d7066"/>
    <w:pPr>
      <w:keepNext w:val="true"/>
      <w:keepLines/>
      <w:spacing w:before="120" w:after="0"/>
      <w:outlineLvl w:val="1"/>
    </w:pPr>
    <w:rPr>
      <w:rFonts w:ascii="Calibri Light" w:hAnsi="Calibri Light" w:eastAsia="" w:cs="" w:asciiTheme="majorHAnsi" w:cstheme="majorBidi" w:eastAsiaTheme="majorEastAsia" w:hAnsiTheme="majorHAnsi"/>
      <w:color w:themeColor="accent2" w:val="ED7D31"/>
      <w:sz w:val="36"/>
      <w:szCs w:val="36"/>
      <w:lang w:eastAsia="lt-LT"/>
    </w:rPr>
  </w:style>
  <w:style w:type="character" w:styleId="DefaultParagraphFont" w:default="1">
    <w:name w:val="Default Paragraph Font"/>
    <w:uiPriority w:val="1"/>
    <w:semiHidden/>
    <w:unhideWhenUsed/>
    <w:qFormat/>
    <w:rPr/>
  </w:style>
  <w:style w:type="character" w:styleId="Heading2Char" w:customStyle="1">
    <w:name w:val="Heading 2 Char"/>
    <w:basedOn w:val="DefaultParagraphFont"/>
    <w:link w:val="Heading2"/>
    <w:uiPriority w:val="9"/>
    <w:qFormat/>
    <w:rsid w:val="005d7066"/>
    <w:rPr>
      <w:rFonts w:ascii="Calibri Light" w:hAnsi="Calibri Light" w:eastAsia="" w:cs="" w:asciiTheme="majorHAnsi" w:cstheme="majorBidi" w:eastAsiaTheme="majorEastAsia" w:hAnsiTheme="majorHAnsi"/>
      <w:color w:themeColor="accent2" w:val="ED7D31"/>
      <w:sz w:val="36"/>
      <w:szCs w:val="36"/>
      <w:lang w:eastAsia="lt-LT"/>
    </w:rPr>
  </w:style>
  <w:style w:type="character" w:styleId="Annotationreference">
    <w:name w:val="annotation reference"/>
    <w:basedOn w:val="DefaultParagraphFont"/>
    <w:semiHidden/>
    <w:unhideWhenUsed/>
    <w:qFormat/>
    <w:rsid w:val="006c10ba"/>
    <w:rPr>
      <w:sz w:val="16"/>
      <w:szCs w:val="16"/>
    </w:rPr>
  </w:style>
  <w:style w:type="character" w:styleId="CommentTextChar" w:customStyle="1">
    <w:name w:val="Comment Text Char"/>
    <w:basedOn w:val="DefaultParagraphFont"/>
    <w:link w:val="Annotationtext"/>
    <w:qFormat/>
    <w:rsid w:val="006c10ba"/>
    <w:rPr>
      <w:sz w:val="20"/>
    </w:rPr>
  </w:style>
  <w:style w:type="character" w:styleId="CommentSubjectChar" w:customStyle="1">
    <w:name w:val="Comment Subject Char"/>
    <w:basedOn w:val="CommentTextChar"/>
    <w:link w:val="Annotationsubject"/>
    <w:semiHidden/>
    <w:qFormat/>
    <w:rsid w:val="006c10ba"/>
    <w:rPr>
      <w:b/>
      <w:bCs/>
      <w:sz w:val="20"/>
    </w:rPr>
  </w:style>
  <w:style w:type="character" w:styleId="Normaltextrun">
    <w:name w:val="normaltextrun"/>
    <w:basedOn w:val="DefaultParagraphFont"/>
    <w:qFormat/>
    <w:rPr>
      <w:rFonts w:ascii="Calibri" w:hAnsi="Calibri" w:eastAsia="" w:cs="" w:asciiTheme="minorHAnsi" w:cstheme="minorBidi" w:eastAsiaTheme="minorEastAsia" w:hAnsiTheme="minorHAnsi"/>
      <w:sz w:val="24"/>
      <w:szCs w:val="24"/>
    </w:rPr>
  </w:style>
  <w:style w:type="paragraph" w:styleId="Heading" w:customStyle="1">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Arial"/>
    </w:rPr>
  </w:style>
  <w:style w:type="paragraph" w:styleId="Caption1">
    <w:name w:val="caption1"/>
    <w:basedOn w:val="Normal"/>
    <w:qFormat/>
    <w:pPr>
      <w:suppressLineNumbers/>
      <w:spacing w:before="120" w:after="120"/>
    </w:pPr>
    <w:rPr>
      <w:rFonts w:cs="Arial"/>
      <w:i/>
      <w:iCs/>
      <w:szCs w:val="24"/>
    </w:rPr>
  </w:style>
  <w:style w:type="paragraph" w:styleId="Annotationtext">
    <w:name w:val="annotation text"/>
    <w:basedOn w:val="Normal"/>
    <w:link w:val="CommentTextChar"/>
    <w:unhideWhenUsed/>
    <w:qFormat/>
    <w:rsid w:val="006c10ba"/>
    <w:pPr/>
    <w:rPr>
      <w:sz w:val="20"/>
    </w:rPr>
  </w:style>
  <w:style w:type="paragraph" w:styleId="Annotationsubject">
    <w:name w:val="annotation subject"/>
    <w:basedOn w:val="Annotationtext"/>
    <w:next w:val="Annotationtext"/>
    <w:link w:val="CommentSubjectChar"/>
    <w:semiHidden/>
    <w:unhideWhenUsed/>
    <w:qFormat/>
    <w:rsid w:val="006c10ba"/>
    <w:pPr/>
    <w:rPr>
      <w:b/>
      <w:bCs/>
    </w:rPr>
  </w:style>
  <w:style w:type="paragraph" w:styleId="HeaderandFooter" w:customStyle="1">
    <w:name w:val="Header and Footer"/>
    <w:basedOn w:val="Normal"/>
    <w:qFormat/>
    <w:pPr/>
    <w:rPr/>
  </w:style>
  <w:style w:type="paragraph" w:styleId="Header">
    <w:name w:val="Header"/>
    <w:basedOn w:val="HeaderandFooter"/>
    <w:pPr/>
    <w:rPr/>
  </w:style>
  <w:style w:type="paragraph" w:styleId="Footer">
    <w:name w:val="Footer"/>
    <w:basedOn w:val="HeaderandFooter"/>
    <w:pPr/>
    <w:rPr/>
  </w:style>
  <w:style w:type="paragraph" w:styleId="ListParagraph">
    <w:name w:val="List Paragraph"/>
    <w:basedOn w:val="Normal"/>
    <w:qFormat/>
    <w:pPr>
      <w:spacing w:before="0" w:after="16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9FDC9A45-8E82-4FF8-87F5-9DF01EBC38E7}">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211</TotalTime>
  <Application>LibreOffice/7.6.4.1$Windows_X86_64 LibreOffice_project/e19e193f88cd6c0525a17fb7a176ed8e6a3e2aa1</Application>
  <AppVersion>15.0000</AppVersion>
  <Pages>32</Pages>
  <Words>12720</Words>
  <Characters>90083</Characters>
  <CharactersWithSpaces>102382</CharactersWithSpaces>
  <Paragraphs>584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2025-12-19T08:51:00Z</dcterms:created>
  <dc:creator>Jurgita Nainienė</dc:creator>
  <dc:description/>
  <dc:language>en-US</dc:language>
  <cp:lastModifiedBy/>
  <dcterms:modified xsi:type="dcterms:W3CDTF">2026-01-29T19:00:47Z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